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EE546" w14:textId="4747F344" w:rsidR="00582B2A" w:rsidRDefault="00582B2A" w:rsidP="00501373">
      <w:pPr>
        <w:pStyle w:val="Heading1"/>
        <w:spacing w:before="720"/>
        <w:rPr>
          <w:lang w:val="en-US"/>
        </w:rPr>
      </w:pPr>
      <w:bookmarkStart w:id="0" w:name="_Toc42255356"/>
      <w:r>
        <w:rPr>
          <w:lang w:val="en-US"/>
        </w:rPr>
        <w:t xml:space="preserve">Vehicle </w:t>
      </w:r>
      <w:r w:rsidR="00355805">
        <w:rPr>
          <w:lang w:val="en-US"/>
        </w:rPr>
        <w:t>sampli</w:t>
      </w:r>
      <w:bookmarkStart w:id="1" w:name="_GoBack"/>
      <w:bookmarkEnd w:id="1"/>
      <w:r w:rsidR="00355805">
        <w:rPr>
          <w:lang w:val="en-US"/>
        </w:rPr>
        <w:t xml:space="preserve">ng supplementary </w:t>
      </w:r>
      <w:r w:rsidRPr="00582B2A">
        <w:rPr>
          <w:lang w:val="en-US"/>
        </w:rPr>
        <w:t xml:space="preserve">WAV </w:t>
      </w:r>
      <w:r w:rsidR="00355805">
        <w:rPr>
          <w:lang w:val="en-US"/>
        </w:rPr>
        <w:t>c</w:t>
      </w:r>
      <w:r w:rsidR="00355805" w:rsidRPr="00582B2A">
        <w:rPr>
          <w:lang w:val="en-US"/>
        </w:rPr>
        <w:t>hecklist</w:t>
      </w:r>
      <w:bookmarkEnd w:id="0"/>
    </w:p>
    <w:p w14:paraId="2FF3AF9C" w14:textId="619372B4" w:rsidR="00FA3742" w:rsidRPr="00FA3742" w:rsidRDefault="00FA3742" w:rsidP="00F15FEA">
      <w:pPr>
        <w:spacing w:after="240"/>
        <w:rPr>
          <w:lang w:val="en-US"/>
        </w:rPr>
      </w:pPr>
      <w:r>
        <w:rPr>
          <w:lang w:val="en-US"/>
        </w:rPr>
        <w:t>Note: refer to supporting material in Appendix 2 of the ‘Safety Assurance Procedure</w:t>
      </w:r>
      <w:r w:rsidR="002A5939">
        <w:rPr>
          <w:lang w:val="en-US"/>
        </w:rPr>
        <w:t xml:space="preserve"> 15</w:t>
      </w:r>
      <w:r>
        <w:rPr>
          <w:lang w:val="en-US"/>
        </w:rPr>
        <w:t xml:space="preserve">: Audit Procedure and Guide’ for further information on how to check WAV equipment. Also see points below this table. </w:t>
      </w:r>
    </w:p>
    <w:tbl>
      <w:tblPr>
        <w:tblW w:w="15446"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6946"/>
      </w:tblGrid>
      <w:tr w:rsidR="00582B2A" w:rsidRPr="00582B2A" w14:paraId="542CEDF4" w14:textId="77777777" w:rsidTr="004542EA">
        <w:trPr>
          <w:cantSplit/>
          <w:trHeight w:val="70"/>
          <w:jc w:val="center"/>
        </w:trPr>
        <w:tc>
          <w:tcPr>
            <w:tcW w:w="8500" w:type="dxa"/>
            <w:shd w:val="clear" w:color="auto" w:fill="auto"/>
            <w:vAlign w:val="center"/>
          </w:tcPr>
          <w:p w14:paraId="08F64213" w14:textId="64C39AED" w:rsidR="00582B2A" w:rsidRPr="00582B2A" w:rsidRDefault="00582B2A" w:rsidP="00501373">
            <w:pPr>
              <w:spacing w:before="60" w:after="60"/>
              <w:rPr>
                <w:sz w:val="22"/>
              </w:rPr>
            </w:pPr>
            <w:r w:rsidRPr="00582B2A">
              <w:rPr>
                <w:sz w:val="22"/>
              </w:rPr>
              <w:t>Plate number</w:t>
            </w:r>
          </w:p>
        </w:tc>
        <w:tc>
          <w:tcPr>
            <w:tcW w:w="6946" w:type="dxa"/>
            <w:shd w:val="clear" w:color="auto" w:fill="auto"/>
            <w:vAlign w:val="center"/>
          </w:tcPr>
          <w:p w14:paraId="6A518374" w14:textId="2BEF05F6" w:rsidR="00582B2A" w:rsidRPr="00582B2A" w:rsidRDefault="00582B2A" w:rsidP="00501373">
            <w:pPr>
              <w:spacing w:before="60" w:after="60"/>
              <w:rPr>
                <w:sz w:val="22"/>
              </w:rPr>
            </w:pPr>
            <w:r w:rsidRPr="00582B2A">
              <w:rPr>
                <w:sz w:val="22"/>
              </w:rPr>
              <w:t>Frontline reference for vehicle stop</w:t>
            </w:r>
          </w:p>
        </w:tc>
      </w:tr>
    </w:tbl>
    <w:p w14:paraId="61B0D739" w14:textId="77777777" w:rsidR="004542EA" w:rsidRPr="004542EA" w:rsidRDefault="004542EA" w:rsidP="004542EA">
      <w:pPr>
        <w:spacing w:after="0"/>
        <w:rPr>
          <w:sz w:val="2"/>
          <w:szCs w:val="2"/>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945"/>
        <w:gridCol w:w="2410"/>
        <w:gridCol w:w="4536"/>
      </w:tblGrid>
      <w:tr w:rsidR="00501373" w:rsidRPr="00501373" w14:paraId="7C889CD8" w14:textId="77777777" w:rsidTr="00501373">
        <w:trPr>
          <w:cantSplit/>
          <w:trHeight w:val="366"/>
          <w:tblHeader/>
          <w:jc w:val="center"/>
        </w:trPr>
        <w:tc>
          <w:tcPr>
            <w:tcW w:w="1555" w:type="dxa"/>
            <w:vMerge w:val="restart"/>
            <w:tcBorders>
              <w:top w:val="single" w:sz="4" w:space="0" w:color="auto"/>
              <w:left w:val="single" w:sz="4" w:space="0" w:color="auto"/>
              <w:right w:val="single" w:sz="4" w:space="0" w:color="auto"/>
            </w:tcBorders>
            <w:shd w:val="clear" w:color="auto" w:fill="1493D3"/>
            <w:vAlign w:val="center"/>
          </w:tcPr>
          <w:p w14:paraId="0534CA5E" w14:textId="77777777" w:rsidR="00582B2A" w:rsidRPr="00501373" w:rsidRDefault="00582B2A" w:rsidP="00501373">
            <w:pPr>
              <w:spacing w:before="60" w:after="60"/>
              <w:rPr>
                <w:b/>
                <w:color w:val="FFFFFF" w:themeColor="background1"/>
                <w:sz w:val="22"/>
              </w:rPr>
            </w:pPr>
            <w:r w:rsidRPr="00501373">
              <w:rPr>
                <w:b/>
                <w:color w:val="FFFFFF" w:themeColor="background1"/>
                <w:sz w:val="22"/>
              </w:rPr>
              <w:t>Item</w:t>
            </w:r>
          </w:p>
        </w:tc>
        <w:tc>
          <w:tcPr>
            <w:tcW w:w="6945" w:type="dxa"/>
            <w:vMerge w:val="restart"/>
            <w:tcBorders>
              <w:top w:val="single" w:sz="4" w:space="0" w:color="auto"/>
              <w:left w:val="single" w:sz="4" w:space="0" w:color="auto"/>
              <w:right w:val="single" w:sz="4" w:space="0" w:color="auto"/>
            </w:tcBorders>
            <w:shd w:val="clear" w:color="auto" w:fill="1493D3"/>
            <w:vAlign w:val="center"/>
          </w:tcPr>
          <w:p w14:paraId="55441D50" w14:textId="77777777" w:rsidR="00582B2A" w:rsidRPr="00501373" w:rsidRDefault="00582B2A" w:rsidP="00501373">
            <w:pPr>
              <w:spacing w:before="60" w:after="60"/>
              <w:rPr>
                <w:b/>
                <w:color w:val="FFFFFF" w:themeColor="background1"/>
                <w:sz w:val="22"/>
              </w:rPr>
            </w:pPr>
            <w:r w:rsidRPr="00501373">
              <w:rPr>
                <w:b/>
                <w:color w:val="FFFFFF" w:themeColor="background1"/>
                <w:sz w:val="22"/>
              </w:rPr>
              <w:t>Details</w:t>
            </w:r>
          </w:p>
        </w:tc>
        <w:tc>
          <w:tcPr>
            <w:tcW w:w="2410" w:type="dxa"/>
            <w:vMerge w:val="restart"/>
            <w:tcBorders>
              <w:top w:val="single" w:sz="4" w:space="0" w:color="auto"/>
              <w:left w:val="single" w:sz="4" w:space="0" w:color="auto"/>
              <w:right w:val="single" w:sz="4" w:space="0" w:color="auto"/>
            </w:tcBorders>
            <w:shd w:val="clear" w:color="auto" w:fill="1493D3"/>
          </w:tcPr>
          <w:p w14:paraId="0266EC63" w14:textId="77777777" w:rsidR="00582B2A" w:rsidRPr="00501373" w:rsidRDefault="00582B2A" w:rsidP="00501373">
            <w:pPr>
              <w:spacing w:before="60" w:after="60"/>
              <w:rPr>
                <w:b/>
                <w:color w:val="FFFFFF" w:themeColor="background1"/>
                <w:sz w:val="22"/>
              </w:rPr>
            </w:pPr>
            <w:r w:rsidRPr="00501373">
              <w:rPr>
                <w:b/>
                <w:color w:val="FFFFFF" w:themeColor="background1"/>
                <w:sz w:val="22"/>
              </w:rPr>
              <w:t>Compliant (C) / Non-complaint (NC) / N/A</w:t>
            </w:r>
          </w:p>
        </w:tc>
        <w:tc>
          <w:tcPr>
            <w:tcW w:w="4536" w:type="dxa"/>
            <w:vMerge w:val="restart"/>
            <w:tcBorders>
              <w:top w:val="single" w:sz="4" w:space="0" w:color="auto"/>
              <w:left w:val="single" w:sz="4" w:space="0" w:color="auto"/>
              <w:right w:val="single" w:sz="4" w:space="0" w:color="auto"/>
            </w:tcBorders>
            <w:shd w:val="clear" w:color="auto" w:fill="1493D3"/>
          </w:tcPr>
          <w:p w14:paraId="41873EFF" w14:textId="6B3022AE" w:rsidR="00582B2A" w:rsidRPr="00501373" w:rsidRDefault="00CA769F" w:rsidP="00501373">
            <w:pPr>
              <w:spacing w:before="60" w:after="60"/>
              <w:rPr>
                <w:b/>
                <w:color w:val="FFFFFF" w:themeColor="background1"/>
                <w:sz w:val="22"/>
              </w:rPr>
            </w:pPr>
            <w:r w:rsidRPr="00501373">
              <w:rPr>
                <w:rFonts w:cs="Arial"/>
                <w:b/>
                <w:color w:val="FFFFFF" w:themeColor="background1"/>
                <w:sz w:val="22"/>
              </w:rPr>
              <w:t>Officer comments (include details of any notices issued)</w:t>
            </w:r>
          </w:p>
        </w:tc>
      </w:tr>
      <w:tr w:rsidR="00582B2A" w:rsidRPr="00582B2A" w14:paraId="15778B1D" w14:textId="77777777" w:rsidTr="00501373">
        <w:trPr>
          <w:cantSplit/>
          <w:trHeight w:val="373"/>
          <w:tblHeader/>
          <w:jc w:val="center"/>
        </w:trPr>
        <w:tc>
          <w:tcPr>
            <w:tcW w:w="1555" w:type="dxa"/>
            <w:vMerge/>
            <w:tcBorders>
              <w:left w:val="single" w:sz="4" w:space="0" w:color="auto"/>
              <w:right w:val="single" w:sz="4" w:space="0" w:color="auto"/>
            </w:tcBorders>
            <w:shd w:val="clear" w:color="auto" w:fill="1493D3"/>
            <w:vAlign w:val="center"/>
          </w:tcPr>
          <w:p w14:paraId="1FF60401" w14:textId="77777777" w:rsidR="00582B2A" w:rsidRPr="00582B2A" w:rsidRDefault="00582B2A" w:rsidP="00501373">
            <w:pPr>
              <w:spacing w:before="60" w:after="60"/>
              <w:rPr>
                <w:sz w:val="22"/>
              </w:rPr>
            </w:pPr>
          </w:p>
        </w:tc>
        <w:tc>
          <w:tcPr>
            <w:tcW w:w="6945" w:type="dxa"/>
            <w:vMerge/>
            <w:tcBorders>
              <w:left w:val="single" w:sz="4" w:space="0" w:color="auto"/>
              <w:right w:val="single" w:sz="4" w:space="0" w:color="auto"/>
            </w:tcBorders>
            <w:shd w:val="clear" w:color="auto" w:fill="1493D3"/>
            <w:vAlign w:val="center"/>
          </w:tcPr>
          <w:p w14:paraId="3C0465D1" w14:textId="77777777" w:rsidR="00582B2A" w:rsidRPr="00582B2A" w:rsidRDefault="00582B2A" w:rsidP="00501373">
            <w:pPr>
              <w:spacing w:before="60" w:after="60"/>
              <w:rPr>
                <w:sz w:val="22"/>
              </w:rPr>
            </w:pPr>
          </w:p>
        </w:tc>
        <w:tc>
          <w:tcPr>
            <w:tcW w:w="2410" w:type="dxa"/>
            <w:vMerge/>
            <w:tcBorders>
              <w:left w:val="single" w:sz="4" w:space="0" w:color="auto"/>
              <w:right w:val="single" w:sz="4" w:space="0" w:color="auto"/>
            </w:tcBorders>
            <w:shd w:val="clear" w:color="auto" w:fill="1493D3"/>
          </w:tcPr>
          <w:p w14:paraId="3AABF9AF" w14:textId="77777777" w:rsidR="00582B2A" w:rsidRPr="00582B2A" w:rsidRDefault="00582B2A" w:rsidP="00501373">
            <w:pPr>
              <w:spacing w:before="60" w:after="60"/>
              <w:rPr>
                <w:sz w:val="22"/>
              </w:rPr>
            </w:pPr>
          </w:p>
        </w:tc>
        <w:tc>
          <w:tcPr>
            <w:tcW w:w="4536" w:type="dxa"/>
            <w:vMerge/>
            <w:tcBorders>
              <w:left w:val="single" w:sz="4" w:space="0" w:color="auto"/>
              <w:right w:val="single" w:sz="4" w:space="0" w:color="auto"/>
            </w:tcBorders>
            <w:shd w:val="clear" w:color="auto" w:fill="1493D3"/>
          </w:tcPr>
          <w:p w14:paraId="7296924D" w14:textId="77777777" w:rsidR="00582B2A" w:rsidRPr="00582B2A" w:rsidRDefault="00582B2A" w:rsidP="00501373">
            <w:pPr>
              <w:spacing w:before="60" w:after="60"/>
              <w:rPr>
                <w:sz w:val="22"/>
              </w:rPr>
            </w:pPr>
          </w:p>
        </w:tc>
      </w:tr>
      <w:tr w:rsidR="00582B2A" w:rsidRPr="00582B2A" w14:paraId="14EF68F0" w14:textId="77777777" w:rsidTr="00501373">
        <w:trPr>
          <w:cantSplit/>
          <w:trHeight w:val="768"/>
          <w:jc w:val="center"/>
        </w:trPr>
        <w:tc>
          <w:tcPr>
            <w:tcW w:w="1555" w:type="dxa"/>
            <w:shd w:val="clear" w:color="auto" w:fill="auto"/>
          </w:tcPr>
          <w:p w14:paraId="6977A944" w14:textId="77777777" w:rsidR="00582B2A" w:rsidRPr="00582B2A" w:rsidRDefault="00582B2A" w:rsidP="00501373">
            <w:pPr>
              <w:spacing w:before="60" w:after="60"/>
              <w:rPr>
                <w:sz w:val="22"/>
              </w:rPr>
            </w:pPr>
            <w:r w:rsidRPr="00582B2A">
              <w:rPr>
                <w:sz w:val="22"/>
              </w:rPr>
              <w:t>Modification</w:t>
            </w:r>
          </w:p>
        </w:tc>
        <w:tc>
          <w:tcPr>
            <w:tcW w:w="6945" w:type="dxa"/>
          </w:tcPr>
          <w:p w14:paraId="2EA5875F" w14:textId="46C92E24" w:rsidR="00582B2A" w:rsidRPr="00582B2A" w:rsidRDefault="00582B2A" w:rsidP="00501373">
            <w:pPr>
              <w:spacing w:before="60" w:after="60"/>
              <w:rPr>
                <w:sz w:val="22"/>
              </w:rPr>
            </w:pPr>
            <w:r w:rsidRPr="00582B2A">
              <w:rPr>
                <w:sz w:val="22"/>
              </w:rPr>
              <w:t>Vehicle modification permit or mod plate for hoist/seating and approv</w:t>
            </w:r>
            <w:r w:rsidR="002A5939">
              <w:rPr>
                <w:sz w:val="22"/>
              </w:rPr>
              <w:t>al</w:t>
            </w:r>
            <w:r w:rsidRPr="00582B2A">
              <w:rPr>
                <w:sz w:val="22"/>
              </w:rPr>
              <w:t xml:space="preserve"> (check Trelis) must be carried in the vehicle</w:t>
            </w:r>
          </w:p>
        </w:tc>
        <w:tc>
          <w:tcPr>
            <w:tcW w:w="2410" w:type="dxa"/>
          </w:tcPr>
          <w:p w14:paraId="0AE9A1CC" w14:textId="77777777" w:rsidR="00582B2A" w:rsidRPr="00582B2A" w:rsidRDefault="00582B2A" w:rsidP="00501373">
            <w:pPr>
              <w:spacing w:before="60" w:after="60"/>
              <w:rPr>
                <w:sz w:val="22"/>
              </w:rPr>
            </w:pPr>
          </w:p>
        </w:tc>
        <w:tc>
          <w:tcPr>
            <w:tcW w:w="4536" w:type="dxa"/>
          </w:tcPr>
          <w:p w14:paraId="3FF0D385" w14:textId="77777777" w:rsidR="00582B2A" w:rsidRPr="00582B2A" w:rsidRDefault="00582B2A" w:rsidP="00501373">
            <w:pPr>
              <w:spacing w:before="60" w:after="60"/>
              <w:rPr>
                <w:sz w:val="22"/>
              </w:rPr>
            </w:pPr>
          </w:p>
        </w:tc>
      </w:tr>
      <w:tr w:rsidR="00FA3742" w:rsidRPr="00582B2A" w14:paraId="3D1FE634" w14:textId="77777777" w:rsidTr="00501373">
        <w:trPr>
          <w:cantSplit/>
          <w:trHeight w:val="443"/>
          <w:jc w:val="center"/>
        </w:trPr>
        <w:tc>
          <w:tcPr>
            <w:tcW w:w="1555" w:type="dxa"/>
            <w:vMerge w:val="restart"/>
            <w:shd w:val="clear" w:color="auto" w:fill="auto"/>
          </w:tcPr>
          <w:p w14:paraId="3F998DF0" w14:textId="77777777" w:rsidR="00FA3742" w:rsidRPr="00582B2A" w:rsidRDefault="00FA3742" w:rsidP="00501373">
            <w:pPr>
              <w:spacing w:before="60" w:after="60"/>
              <w:rPr>
                <w:sz w:val="22"/>
              </w:rPr>
            </w:pPr>
            <w:r w:rsidRPr="00582B2A">
              <w:rPr>
                <w:sz w:val="22"/>
              </w:rPr>
              <w:t>Internal</w:t>
            </w:r>
          </w:p>
        </w:tc>
        <w:tc>
          <w:tcPr>
            <w:tcW w:w="6945" w:type="dxa"/>
          </w:tcPr>
          <w:p w14:paraId="39EBA68D" w14:textId="21446958" w:rsidR="00FA3742" w:rsidRPr="00FA3742" w:rsidRDefault="00FA3742" w:rsidP="00501373">
            <w:pPr>
              <w:spacing w:before="60" w:after="60"/>
              <w:ind w:left="22"/>
              <w:rPr>
                <w:sz w:val="22"/>
              </w:rPr>
            </w:pPr>
            <w:r w:rsidRPr="00582B2A">
              <w:rPr>
                <w:sz w:val="22"/>
              </w:rPr>
              <w:t>Meter is visible for wheelchair passenger</w:t>
            </w:r>
          </w:p>
        </w:tc>
        <w:tc>
          <w:tcPr>
            <w:tcW w:w="2410" w:type="dxa"/>
          </w:tcPr>
          <w:p w14:paraId="2DCEDA89" w14:textId="77777777" w:rsidR="00FA3742" w:rsidRPr="00582B2A" w:rsidRDefault="00FA3742" w:rsidP="00501373">
            <w:pPr>
              <w:spacing w:before="60" w:after="60"/>
              <w:rPr>
                <w:sz w:val="22"/>
              </w:rPr>
            </w:pPr>
          </w:p>
        </w:tc>
        <w:tc>
          <w:tcPr>
            <w:tcW w:w="4536" w:type="dxa"/>
            <w:vMerge w:val="restart"/>
          </w:tcPr>
          <w:p w14:paraId="73A286F2" w14:textId="77777777" w:rsidR="00FA3742" w:rsidRPr="00582B2A" w:rsidRDefault="00FA3742" w:rsidP="00501373">
            <w:pPr>
              <w:spacing w:before="60" w:after="60"/>
              <w:rPr>
                <w:sz w:val="22"/>
              </w:rPr>
            </w:pPr>
          </w:p>
        </w:tc>
      </w:tr>
      <w:tr w:rsidR="00FA3742" w:rsidRPr="00582B2A" w14:paraId="2A007245" w14:textId="77777777" w:rsidTr="00501373">
        <w:trPr>
          <w:cantSplit/>
          <w:trHeight w:val="420"/>
          <w:jc w:val="center"/>
        </w:trPr>
        <w:tc>
          <w:tcPr>
            <w:tcW w:w="1555" w:type="dxa"/>
            <w:vMerge/>
            <w:shd w:val="clear" w:color="auto" w:fill="auto"/>
          </w:tcPr>
          <w:p w14:paraId="1FD8EC2D" w14:textId="77777777" w:rsidR="00FA3742" w:rsidRPr="00582B2A" w:rsidRDefault="00FA3742" w:rsidP="00501373">
            <w:pPr>
              <w:spacing w:before="60" w:after="60"/>
              <w:rPr>
                <w:sz w:val="22"/>
              </w:rPr>
            </w:pPr>
          </w:p>
        </w:tc>
        <w:tc>
          <w:tcPr>
            <w:tcW w:w="6945" w:type="dxa"/>
          </w:tcPr>
          <w:p w14:paraId="5FE93743" w14:textId="6A0D0205" w:rsidR="00FA3742" w:rsidRPr="00582B2A" w:rsidRDefault="00FA3742" w:rsidP="00501373">
            <w:pPr>
              <w:spacing w:before="60" w:after="60"/>
              <w:ind w:left="22"/>
              <w:rPr>
                <w:sz w:val="22"/>
              </w:rPr>
            </w:pPr>
            <w:r w:rsidRPr="00582B2A">
              <w:rPr>
                <w:sz w:val="22"/>
              </w:rPr>
              <w:t>Courtesy lights above the hoist are present and operational</w:t>
            </w:r>
          </w:p>
        </w:tc>
        <w:tc>
          <w:tcPr>
            <w:tcW w:w="2410" w:type="dxa"/>
          </w:tcPr>
          <w:p w14:paraId="10F9F908" w14:textId="77777777" w:rsidR="00FA3742" w:rsidRPr="00582B2A" w:rsidRDefault="00FA3742" w:rsidP="00501373">
            <w:pPr>
              <w:spacing w:before="60" w:after="60"/>
              <w:rPr>
                <w:sz w:val="22"/>
              </w:rPr>
            </w:pPr>
          </w:p>
        </w:tc>
        <w:tc>
          <w:tcPr>
            <w:tcW w:w="4536" w:type="dxa"/>
            <w:vMerge/>
          </w:tcPr>
          <w:p w14:paraId="60D36CC4" w14:textId="77777777" w:rsidR="00FA3742" w:rsidRPr="00582B2A" w:rsidRDefault="00FA3742" w:rsidP="00501373">
            <w:pPr>
              <w:spacing w:before="60" w:after="60"/>
              <w:rPr>
                <w:sz w:val="22"/>
              </w:rPr>
            </w:pPr>
          </w:p>
        </w:tc>
      </w:tr>
      <w:tr w:rsidR="00FA3742" w:rsidRPr="00582B2A" w14:paraId="0C50EDE6" w14:textId="77777777" w:rsidTr="00501373">
        <w:trPr>
          <w:cantSplit/>
          <w:jc w:val="center"/>
        </w:trPr>
        <w:tc>
          <w:tcPr>
            <w:tcW w:w="1555" w:type="dxa"/>
            <w:vMerge w:val="restart"/>
            <w:shd w:val="clear" w:color="auto" w:fill="auto"/>
          </w:tcPr>
          <w:p w14:paraId="0BCF2F23" w14:textId="77777777" w:rsidR="00FA3742" w:rsidRPr="00582B2A" w:rsidRDefault="00FA3742" w:rsidP="00501373">
            <w:pPr>
              <w:spacing w:before="60" w:after="60"/>
              <w:rPr>
                <w:sz w:val="22"/>
              </w:rPr>
            </w:pPr>
            <w:r w:rsidRPr="00582B2A">
              <w:rPr>
                <w:sz w:val="22"/>
              </w:rPr>
              <w:t>Restraint System</w:t>
            </w:r>
          </w:p>
        </w:tc>
        <w:tc>
          <w:tcPr>
            <w:tcW w:w="6945" w:type="dxa"/>
          </w:tcPr>
          <w:p w14:paraId="1C7BCB2B" w14:textId="35396B02" w:rsidR="00FA3742" w:rsidRPr="00FA3742" w:rsidRDefault="00FA3742" w:rsidP="00501373">
            <w:pPr>
              <w:spacing w:before="60" w:after="60"/>
              <w:ind w:left="22"/>
              <w:rPr>
                <w:sz w:val="22"/>
              </w:rPr>
            </w:pPr>
            <w:r w:rsidRPr="00582B2A">
              <w:rPr>
                <w:sz w:val="22"/>
              </w:rPr>
              <w:t xml:space="preserve">If modification occurred post 16 October 2015 each wheelchair position must be fitted for a three-point harness. </w:t>
            </w:r>
          </w:p>
        </w:tc>
        <w:tc>
          <w:tcPr>
            <w:tcW w:w="2410" w:type="dxa"/>
          </w:tcPr>
          <w:p w14:paraId="40CA6F9F" w14:textId="77777777" w:rsidR="00FA3742" w:rsidRPr="00582B2A" w:rsidRDefault="00FA3742" w:rsidP="00501373">
            <w:pPr>
              <w:spacing w:before="60" w:after="60"/>
              <w:rPr>
                <w:sz w:val="22"/>
              </w:rPr>
            </w:pPr>
          </w:p>
        </w:tc>
        <w:tc>
          <w:tcPr>
            <w:tcW w:w="4536" w:type="dxa"/>
            <w:vMerge w:val="restart"/>
          </w:tcPr>
          <w:p w14:paraId="3128FBCE" w14:textId="77777777" w:rsidR="00FA3742" w:rsidRPr="00582B2A" w:rsidRDefault="00FA3742" w:rsidP="00501373">
            <w:pPr>
              <w:spacing w:before="60" w:after="60"/>
              <w:rPr>
                <w:sz w:val="22"/>
              </w:rPr>
            </w:pPr>
          </w:p>
        </w:tc>
      </w:tr>
      <w:tr w:rsidR="00FA3742" w:rsidRPr="00582B2A" w14:paraId="0BC74D34" w14:textId="77777777" w:rsidTr="00501373">
        <w:trPr>
          <w:cantSplit/>
          <w:jc w:val="center"/>
        </w:trPr>
        <w:tc>
          <w:tcPr>
            <w:tcW w:w="1555" w:type="dxa"/>
            <w:vMerge/>
            <w:shd w:val="clear" w:color="auto" w:fill="auto"/>
          </w:tcPr>
          <w:p w14:paraId="6BB0440B" w14:textId="77777777" w:rsidR="00FA3742" w:rsidRPr="00582B2A" w:rsidRDefault="00FA3742" w:rsidP="00501373">
            <w:pPr>
              <w:spacing w:before="60" w:after="60"/>
              <w:rPr>
                <w:sz w:val="22"/>
              </w:rPr>
            </w:pPr>
          </w:p>
        </w:tc>
        <w:tc>
          <w:tcPr>
            <w:tcW w:w="6945" w:type="dxa"/>
          </w:tcPr>
          <w:p w14:paraId="642F5554" w14:textId="36EC1735" w:rsidR="00FA3742" w:rsidRPr="00FA3742" w:rsidRDefault="00FA3742" w:rsidP="00501373">
            <w:pPr>
              <w:spacing w:before="60" w:after="60"/>
              <w:ind w:left="22"/>
              <w:rPr>
                <w:sz w:val="22"/>
              </w:rPr>
            </w:pPr>
            <w:r>
              <w:rPr>
                <w:sz w:val="22"/>
              </w:rPr>
              <w:t>Vehicle has a w</w:t>
            </w:r>
            <w:r w:rsidRPr="00582B2A">
              <w:rPr>
                <w:sz w:val="22"/>
              </w:rPr>
              <w:t>arning sign illustrating improper positioning of occupant restraint belt (If modification occurred post 16 October 2015).</w:t>
            </w:r>
          </w:p>
        </w:tc>
        <w:tc>
          <w:tcPr>
            <w:tcW w:w="2410" w:type="dxa"/>
          </w:tcPr>
          <w:p w14:paraId="06E950C2" w14:textId="77777777" w:rsidR="00FA3742" w:rsidRPr="00582B2A" w:rsidRDefault="00FA3742" w:rsidP="00501373">
            <w:pPr>
              <w:spacing w:before="60" w:after="60"/>
              <w:rPr>
                <w:sz w:val="22"/>
              </w:rPr>
            </w:pPr>
          </w:p>
        </w:tc>
        <w:tc>
          <w:tcPr>
            <w:tcW w:w="4536" w:type="dxa"/>
            <w:vMerge/>
          </w:tcPr>
          <w:p w14:paraId="3FCBE2C4" w14:textId="77777777" w:rsidR="00FA3742" w:rsidRPr="00582B2A" w:rsidRDefault="00FA3742" w:rsidP="00501373">
            <w:pPr>
              <w:spacing w:before="60" w:after="60"/>
              <w:rPr>
                <w:sz w:val="22"/>
              </w:rPr>
            </w:pPr>
          </w:p>
        </w:tc>
      </w:tr>
      <w:tr w:rsidR="00FA3742" w:rsidRPr="00582B2A" w14:paraId="32E0F23E" w14:textId="77777777" w:rsidTr="00501373">
        <w:trPr>
          <w:cantSplit/>
          <w:jc w:val="center"/>
        </w:trPr>
        <w:tc>
          <w:tcPr>
            <w:tcW w:w="1555" w:type="dxa"/>
            <w:vMerge/>
            <w:shd w:val="clear" w:color="auto" w:fill="auto"/>
          </w:tcPr>
          <w:p w14:paraId="113F446C" w14:textId="77777777" w:rsidR="00FA3742" w:rsidRPr="00582B2A" w:rsidRDefault="00FA3742" w:rsidP="00501373">
            <w:pPr>
              <w:spacing w:before="60" w:after="60"/>
              <w:rPr>
                <w:sz w:val="22"/>
              </w:rPr>
            </w:pPr>
          </w:p>
        </w:tc>
        <w:tc>
          <w:tcPr>
            <w:tcW w:w="6945" w:type="dxa"/>
          </w:tcPr>
          <w:p w14:paraId="43309E81" w14:textId="60A77B00" w:rsidR="00FA3742" w:rsidRPr="00FA3742" w:rsidRDefault="00FA3742" w:rsidP="00501373">
            <w:pPr>
              <w:spacing w:before="60" w:after="60"/>
              <w:ind w:left="22"/>
              <w:rPr>
                <w:sz w:val="22"/>
              </w:rPr>
            </w:pPr>
            <w:r w:rsidRPr="00582B2A">
              <w:rPr>
                <w:sz w:val="22"/>
              </w:rPr>
              <w:t>Vehicle has 1 complete set of wheelchairs tie-down and occupant restraint system (WTORS) belts for each wheelchair position.</w:t>
            </w:r>
          </w:p>
        </w:tc>
        <w:tc>
          <w:tcPr>
            <w:tcW w:w="2410" w:type="dxa"/>
          </w:tcPr>
          <w:p w14:paraId="3B3D8857" w14:textId="77777777" w:rsidR="00FA3742" w:rsidRPr="00582B2A" w:rsidRDefault="00FA3742" w:rsidP="00501373">
            <w:pPr>
              <w:spacing w:before="60" w:after="60"/>
              <w:rPr>
                <w:sz w:val="22"/>
              </w:rPr>
            </w:pPr>
          </w:p>
        </w:tc>
        <w:tc>
          <w:tcPr>
            <w:tcW w:w="4536" w:type="dxa"/>
            <w:vMerge/>
          </w:tcPr>
          <w:p w14:paraId="42A44467" w14:textId="77777777" w:rsidR="00FA3742" w:rsidRPr="00582B2A" w:rsidRDefault="00FA3742" w:rsidP="00501373">
            <w:pPr>
              <w:spacing w:before="60" w:after="60"/>
              <w:rPr>
                <w:sz w:val="22"/>
              </w:rPr>
            </w:pPr>
          </w:p>
        </w:tc>
      </w:tr>
      <w:tr w:rsidR="00FA3742" w:rsidRPr="00582B2A" w14:paraId="6678A279" w14:textId="77777777" w:rsidTr="00501373">
        <w:trPr>
          <w:cantSplit/>
          <w:jc w:val="center"/>
        </w:trPr>
        <w:tc>
          <w:tcPr>
            <w:tcW w:w="1555" w:type="dxa"/>
            <w:vMerge/>
            <w:shd w:val="clear" w:color="auto" w:fill="auto"/>
          </w:tcPr>
          <w:p w14:paraId="01DA2E4F" w14:textId="77777777" w:rsidR="00FA3742" w:rsidRPr="00582B2A" w:rsidRDefault="00FA3742" w:rsidP="00501373">
            <w:pPr>
              <w:spacing w:before="60" w:after="60"/>
              <w:rPr>
                <w:sz w:val="22"/>
              </w:rPr>
            </w:pPr>
          </w:p>
        </w:tc>
        <w:tc>
          <w:tcPr>
            <w:tcW w:w="6945" w:type="dxa"/>
          </w:tcPr>
          <w:p w14:paraId="2A2F3084" w14:textId="785B29FF" w:rsidR="00FA3742" w:rsidRPr="00FA3742" w:rsidRDefault="00FA3742" w:rsidP="00501373">
            <w:pPr>
              <w:spacing w:before="60" w:after="60"/>
              <w:ind w:left="22"/>
              <w:rPr>
                <w:sz w:val="22"/>
              </w:rPr>
            </w:pPr>
            <w:r w:rsidRPr="00582B2A">
              <w:rPr>
                <w:sz w:val="22"/>
              </w:rPr>
              <w:t>Each belt has a legible label with all the required information</w:t>
            </w:r>
            <w:r>
              <w:rPr>
                <w:sz w:val="22"/>
              </w:rPr>
              <w:t xml:space="preserve"> *3</w:t>
            </w:r>
            <w:r w:rsidRPr="00582B2A">
              <w:rPr>
                <w:sz w:val="22"/>
              </w:rPr>
              <w:t>.</w:t>
            </w:r>
          </w:p>
        </w:tc>
        <w:tc>
          <w:tcPr>
            <w:tcW w:w="2410" w:type="dxa"/>
          </w:tcPr>
          <w:p w14:paraId="6F650B0C" w14:textId="77777777" w:rsidR="00FA3742" w:rsidRPr="00582B2A" w:rsidRDefault="00FA3742" w:rsidP="00501373">
            <w:pPr>
              <w:spacing w:before="60" w:after="60"/>
              <w:rPr>
                <w:sz w:val="22"/>
              </w:rPr>
            </w:pPr>
          </w:p>
        </w:tc>
        <w:tc>
          <w:tcPr>
            <w:tcW w:w="4536" w:type="dxa"/>
            <w:vMerge/>
          </w:tcPr>
          <w:p w14:paraId="1265CD10" w14:textId="77777777" w:rsidR="00FA3742" w:rsidRPr="00582B2A" w:rsidRDefault="00FA3742" w:rsidP="00501373">
            <w:pPr>
              <w:spacing w:before="60" w:after="60"/>
              <w:rPr>
                <w:sz w:val="22"/>
              </w:rPr>
            </w:pPr>
          </w:p>
        </w:tc>
      </w:tr>
      <w:tr w:rsidR="00FA3742" w:rsidRPr="00582B2A" w14:paraId="178F15EC" w14:textId="77777777" w:rsidTr="00501373">
        <w:trPr>
          <w:cantSplit/>
          <w:jc w:val="center"/>
        </w:trPr>
        <w:tc>
          <w:tcPr>
            <w:tcW w:w="1555" w:type="dxa"/>
            <w:vMerge/>
            <w:shd w:val="clear" w:color="auto" w:fill="auto"/>
          </w:tcPr>
          <w:p w14:paraId="03C05E1E" w14:textId="77777777" w:rsidR="00FA3742" w:rsidRPr="00582B2A" w:rsidRDefault="00FA3742" w:rsidP="00501373">
            <w:pPr>
              <w:spacing w:before="60" w:after="60"/>
              <w:rPr>
                <w:sz w:val="22"/>
              </w:rPr>
            </w:pPr>
          </w:p>
        </w:tc>
        <w:tc>
          <w:tcPr>
            <w:tcW w:w="6945" w:type="dxa"/>
          </w:tcPr>
          <w:p w14:paraId="05E7645E" w14:textId="370BBA7B" w:rsidR="00FA3742" w:rsidRPr="00FA3742" w:rsidRDefault="00FA3742" w:rsidP="00501373">
            <w:pPr>
              <w:spacing w:before="60" w:after="60"/>
              <w:ind w:left="22"/>
              <w:rPr>
                <w:sz w:val="22"/>
              </w:rPr>
            </w:pPr>
            <w:r w:rsidRPr="00582B2A">
              <w:rPr>
                <w:sz w:val="22"/>
              </w:rPr>
              <w:t>Each belt is free from damage and or stains</w:t>
            </w:r>
            <w:r>
              <w:rPr>
                <w:sz w:val="22"/>
              </w:rPr>
              <w:t xml:space="preserve"> </w:t>
            </w:r>
            <w:r w:rsidRPr="00582B2A">
              <w:rPr>
                <w:sz w:val="22"/>
              </w:rPr>
              <w:t>*4.</w:t>
            </w:r>
          </w:p>
        </w:tc>
        <w:tc>
          <w:tcPr>
            <w:tcW w:w="2410" w:type="dxa"/>
          </w:tcPr>
          <w:p w14:paraId="190217DB" w14:textId="77777777" w:rsidR="00FA3742" w:rsidRPr="00582B2A" w:rsidRDefault="00FA3742" w:rsidP="00501373">
            <w:pPr>
              <w:spacing w:before="60" w:after="60"/>
              <w:rPr>
                <w:sz w:val="22"/>
              </w:rPr>
            </w:pPr>
          </w:p>
        </w:tc>
        <w:tc>
          <w:tcPr>
            <w:tcW w:w="4536" w:type="dxa"/>
            <w:vMerge/>
          </w:tcPr>
          <w:p w14:paraId="0059FEC2" w14:textId="77777777" w:rsidR="00FA3742" w:rsidRPr="00582B2A" w:rsidRDefault="00FA3742" w:rsidP="00501373">
            <w:pPr>
              <w:spacing w:before="60" w:after="60"/>
              <w:rPr>
                <w:sz w:val="22"/>
              </w:rPr>
            </w:pPr>
          </w:p>
        </w:tc>
      </w:tr>
      <w:tr w:rsidR="00FA3742" w:rsidRPr="00582B2A" w14:paraId="5BD6150B" w14:textId="77777777" w:rsidTr="00501373">
        <w:trPr>
          <w:cantSplit/>
          <w:jc w:val="center"/>
        </w:trPr>
        <w:tc>
          <w:tcPr>
            <w:tcW w:w="1555" w:type="dxa"/>
            <w:vMerge/>
            <w:shd w:val="clear" w:color="auto" w:fill="auto"/>
          </w:tcPr>
          <w:p w14:paraId="121A8086" w14:textId="77777777" w:rsidR="00FA3742" w:rsidRPr="00582B2A" w:rsidRDefault="00FA3742" w:rsidP="00501373">
            <w:pPr>
              <w:spacing w:before="60" w:after="60"/>
              <w:rPr>
                <w:sz w:val="22"/>
              </w:rPr>
            </w:pPr>
          </w:p>
        </w:tc>
        <w:tc>
          <w:tcPr>
            <w:tcW w:w="6945" w:type="dxa"/>
          </w:tcPr>
          <w:p w14:paraId="230D02CA" w14:textId="3ED64ED9" w:rsidR="00FA3742" w:rsidRPr="00501373" w:rsidRDefault="00FA3742" w:rsidP="00E0725D">
            <w:pPr>
              <w:spacing w:before="60" w:after="60"/>
              <w:ind w:left="22"/>
              <w:rPr>
                <w:sz w:val="22"/>
              </w:rPr>
            </w:pPr>
            <w:r w:rsidRPr="00582B2A">
              <w:rPr>
                <w:sz w:val="22"/>
              </w:rPr>
              <w:t xml:space="preserve">All buckles are free from damage and are working correctly </w:t>
            </w:r>
          </w:p>
        </w:tc>
        <w:tc>
          <w:tcPr>
            <w:tcW w:w="2410" w:type="dxa"/>
          </w:tcPr>
          <w:p w14:paraId="1DABD92B" w14:textId="77777777" w:rsidR="00FA3742" w:rsidRPr="00582B2A" w:rsidRDefault="00FA3742" w:rsidP="00501373">
            <w:pPr>
              <w:spacing w:before="60" w:after="60"/>
              <w:rPr>
                <w:sz w:val="22"/>
              </w:rPr>
            </w:pPr>
          </w:p>
        </w:tc>
        <w:tc>
          <w:tcPr>
            <w:tcW w:w="4536" w:type="dxa"/>
            <w:vMerge/>
          </w:tcPr>
          <w:p w14:paraId="64B7020A" w14:textId="77777777" w:rsidR="00FA3742" w:rsidRPr="00582B2A" w:rsidRDefault="00FA3742" w:rsidP="00501373">
            <w:pPr>
              <w:spacing w:before="60" w:after="60"/>
              <w:rPr>
                <w:sz w:val="22"/>
              </w:rPr>
            </w:pPr>
          </w:p>
        </w:tc>
      </w:tr>
      <w:tr w:rsidR="00FA3742" w:rsidRPr="00582B2A" w14:paraId="1F9731D6" w14:textId="77777777" w:rsidTr="00501373">
        <w:trPr>
          <w:cantSplit/>
          <w:jc w:val="center"/>
        </w:trPr>
        <w:tc>
          <w:tcPr>
            <w:tcW w:w="1555" w:type="dxa"/>
            <w:vMerge/>
            <w:shd w:val="clear" w:color="auto" w:fill="auto"/>
          </w:tcPr>
          <w:p w14:paraId="08206D45" w14:textId="77777777" w:rsidR="00FA3742" w:rsidRPr="00582B2A" w:rsidRDefault="00FA3742" w:rsidP="00501373">
            <w:pPr>
              <w:spacing w:before="60" w:after="60"/>
              <w:rPr>
                <w:sz w:val="22"/>
              </w:rPr>
            </w:pPr>
          </w:p>
        </w:tc>
        <w:tc>
          <w:tcPr>
            <w:tcW w:w="6945" w:type="dxa"/>
          </w:tcPr>
          <w:p w14:paraId="4A57E3F9" w14:textId="3E9BBD5D" w:rsidR="00FA3742" w:rsidRPr="00501373" w:rsidRDefault="00FA3742" w:rsidP="00E0725D">
            <w:pPr>
              <w:spacing w:before="60" w:after="60"/>
              <w:ind w:left="22"/>
              <w:rPr>
                <w:sz w:val="22"/>
              </w:rPr>
            </w:pPr>
            <w:r w:rsidRPr="00582B2A">
              <w:rPr>
                <w:sz w:val="22"/>
              </w:rPr>
              <w:t xml:space="preserve">All securing knuckles are free from damage and can be inserted into railing and locked in </w:t>
            </w:r>
          </w:p>
        </w:tc>
        <w:tc>
          <w:tcPr>
            <w:tcW w:w="2410" w:type="dxa"/>
          </w:tcPr>
          <w:p w14:paraId="00F3D3CE" w14:textId="77777777" w:rsidR="00FA3742" w:rsidRPr="00582B2A" w:rsidRDefault="00FA3742" w:rsidP="00501373">
            <w:pPr>
              <w:spacing w:before="60" w:after="60"/>
              <w:rPr>
                <w:sz w:val="22"/>
              </w:rPr>
            </w:pPr>
          </w:p>
        </w:tc>
        <w:tc>
          <w:tcPr>
            <w:tcW w:w="4536" w:type="dxa"/>
            <w:vMerge/>
          </w:tcPr>
          <w:p w14:paraId="25113125" w14:textId="77777777" w:rsidR="00FA3742" w:rsidRPr="00582B2A" w:rsidRDefault="00FA3742" w:rsidP="00501373">
            <w:pPr>
              <w:spacing w:before="60" w:after="60"/>
              <w:rPr>
                <w:sz w:val="22"/>
              </w:rPr>
            </w:pPr>
          </w:p>
        </w:tc>
      </w:tr>
      <w:tr w:rsidR="00FA3742" w:rsidRPr="00582B2A" w14:paraId="6BCC564F" w14:textId="77777777" w:rsidTr="00501373">
        <w:trPr>
          <w:cantSplit/>
          <w:jc w:val="center"/>
        </w:trPr>
        <w:tc>
          <w:tcPr>
            <w:tcW w:w="1555" w:type="dxa"/>
            <w:vMerge/>
            <w:shd w:val="clear" w:color="auto" w:fill="auto"/>
          </w:tcPr>
          <w:p w14:paraId="0DA2576B" w14:textId="77777777" w:rsidR="00FA3742" w:rsidRPr="00582B2A" w:rsidRDefault="00FA3742" w:rsidP="00501373">
            <w:pPr>
              <w:spacing w:before="60" w:after="60"/>
              <w:rPr>
                <w:sz w:val="22"/>
              </w:rPr>
            </w:pPr>
          </w:p>
        </w:tc>
        <w:tc>
          <w:tcPr>
            <w:tcW w:w="6945" w:type="dxa"/>
          </w:tcPr>
          <w:p w14:paraId="378E8BF5" w14:textId="77BC6D27" w:rsidR="00FA3742" w:rsidRPr="00501373" w:rsidRDefault="00FA3742" w:rsidP="00E0725D">
            <w:pPr>
              <w:spacing w:before="60" w:after="60"/>
              <w:ind w:left="22"/>
              <w:rPr>
                <w:sz w:val="22"/>
              </w:rPr>
            </w:pPr>
            <w:r w:rsidRPr="00582B2A">
              <w:rPr>
                <w:sz w:val="22"/>
              </w:rPr>
              <w:t xml:space="preserve">All ratchets are working and lock when required too  </w:t>
            </w:r>
          </w:p>
        </w:tc>
        <w:tc>
          <w:tcPr>
            <w:tcW w:w="2410" w:type="dxa"/>
          </w:tcPr>
          <w:p w14:paraId="3007044C" w14:textId="77777777" w:rsidR="00FA3742" w:rsidRPr="00582B2A" w:rsidRDefault="00FA3742" w:rsidP="00501373">
            <w:pPr>
              <w:spacing w:before="60" w:after="60"/>
              <w:rPr>
                <w:sz w:val="22"/>
              </w:rPr>
            </w:pPr>
          </w:p>
        </w:tc>
        <w:tc>
          <w:tcPr>
            <w:tcW w:w="4536" w:type="dxa"/>
            <w:vMerge/>
          </w:tcPr>
          <w:p w14:paraId="183CB3D9" w14:textId="77777777" w:rsidR="00FA3742" w:rsidRPr="00582B2A" w:rsidRDefault="00FA3742" w:rsidP="00501373">
            <w:pPr>
              <w:spacing w:before="60" w:after="60"/>
              <w:rPr>
                <w:sz w:val="22"/>
              </w:rPr>
            </w:pPr>
          </w:p>
        </w:tc>
      </w:tr>
      <w:tr w:rsidR="00FA3742" w:rsidRPr="00582B2A" w14:paraId="7AD0F84D" w14:textId="77777777" w:rsidTr="00501373">
        <w:trPr>
          <w:cantSplit/>
          <w:jc w:val="center"/>
        </w:trPr>
        <w:tc>
          <w:tcPr>
            <w:tcW w:w="1555" w:type="dxa"/>
            <w:vMerge/>
            <w:shd w:val="clear" w:color="auto" w:fill="auto"/>
          </w:tcPr>
          <w:p w14:paraId="093510E3" w14:textId="77777777" w:rsidR="00FA3742" w:rsidRPr="00582B2A" w:rsidRDefault="00FA3742" w:rsidP="00501373">
            <w:pPr>
              <w:spacing w:before="60" w:after="60"/>
              <w:rPr>
                <w:sz w:val="22"/>
              </w:rPr>
            </w:pPr>
          </w:p>
        </w:tc>
        <w:tc>
          <w:tcPr>
            <w:tcW w:w="6945" w:type="dxa"/>
          </w:tcPr>
          <w:p w14:paraId="4CF93A8D" w14:textId="12B45F3E" w:rsidR="00FA3742" w:rsidRPr="00501373" w:rsidRDefault="00FA3742" w:rsidP="00E0725D">
            <w:pPr>
              <w:spacing w:before="60" w:after="60"/>
              <w:ind w:left="22"/>
              <w:rPr>
                <w:sz w:val="22"/>
              </w:rPr>
            </w:pPr>
            <w:r>
              <w:rPr>
                <w:sz w:val="22"/>
              </w:rPr>
              <w:t xml:space="preserve">The </w:t>
            </w:r>
            <w:r w:rsidRPr="00582B2A">
              <w:rPr>
                <w:sz w:val="22"/>
              </w:rPr>
              <w:t>WAV has a safe storage location for the WTORS restraint belts to protect them when not in use.</w:t>
            </w:r>
          </w:p>
        </w:tc>
        <w:tc>
          <w:tcPr>
            <w:tcW w:w="2410" w:type="dxa"/>
          </w:tcPr>
          <w:p w14:paraId="436807BB" w14:textId="77777777" w:rsidR="00FA3742" w:rsidRPr="00582B2A" w:rsidRDefault="00FA3742" w:rsidP="00501373">
            <w:pPr>
              <w:spacing w:before="60" w:after="60"/>
              <w:rPr>
                <w:sz w:val="22"/>
              </w:rPr>
            </w:pPr>
          </w:p>
        </w:tc>
        <w:tc>
          <w:tcPr>
            <w:tcW w:w="4536" w:type="dxa"/>
            <w:vMerge/>
          </w:tcPr>
          <w:p w14:paraId="08FD5C77" w14:textId="77777777" w:rsidR="00FA3742" w:rsidRPr="00582B2A" w:rsidRDefault="00FA3742" w:rsidP="00501373">
            <w:pPr>
              <w:spacing w:before="60" w:after="60"/>
              <w:rPr>
                <w:sz w:val="22"/>
              </w:rPr>
            </w:pPr>
          </w:p>
        </w:tc>
      </w:tr>
      <w:tr w:rsidR="00FA3742" w:rsidRPr="00582B2A" w14:paraId="0EEDD051" w14:textId="77777777" w:rsidTr="00501373">
        <w:trPr>
          <w:cantSplit/>
          <w:trHeight w:val="1975"/>
          <w:jc w:val="center"/>
        </w:trPr>
        <w:tc>
          <w:tcPr>
            <w:tcW w:w="1555" w:type="dxa"/>
            <w:vMerge w:val="restart"/>
            <w:shd w:val="clear" w:color="auto" w:fill="auto"/>
          </w:tcPr>
          <w:p w14:paraId="17C33ECA" w14:textId="77777777" w:rsidR="00FA3742" w:rsidRPr="00582B2A" w:rsidRDefault="00FA3742" w:rsidP="00501373">
            <w:pPr>
              <w:spacing w:before="60" w:after="60"/>
              <w:rPr>
                <w:sz w:val="22"/>
              </w:rPr>
            </w:pPr>
            <w:r w:rsidRPr="00582B2A">
              <w:rPr>
                <w:sz w:val="22"/>
              </w:rPr>
              <w:t>Hoists</w:t>
            </w:r>
          </w:p>
        </w:tc>
        <w:tc>
          <w:tcPr>
            <w:tcW w:w="6945" w:type="dxa"/>
          </w:tcPr>
          <w:p w14:paraId="384C81A2" w14:textId="6FA2FEED" w:rsidR="00FA3742" w:rsidRPr="00FA3742" w:rsidRDefault="00FA3742" w:rsidP="00501373">
            <w:pPr>
              <w:spacing w:before="60" w:after="60"/>
              <w:rPr>
                <w:sz w:val="22"/>
              </w:rPr>
            </w:pPr>
            <w:r w:rsidRPr="00FA3742">
              <w:rPr>
                <w:sz w:val="22"/>
              </w:rPr>
              <w:t>All safety labels for the hoist are in place and readable *5.</w:t>
            </w:r>
          </w:p>
          <w:p w14:paraId="6A15EACE" w14:textId="77777777" w:rsidR="00FA3742" w:rsidRPr="00FA3742" w:rsidRDefault="00FA3742" w:rsidP="00501373">
            <w:pPr>
              <w:pStyle w:val="ListParagraph"/>
              <w:numPr>
                <w:ilvl w:val="0"/>
                <w:numId w:val="21"/>
              </w:numPr>
              <w:spacing w:before="60" w:after="60" w:line="240" w:lineRule="auto"/>
              <w:ind w:left="461"/>
              <w:contextualSpacing w:val="0"/>
            </w:pPr>
            <w:r w:rsidRPr="00FA3742">
              <w:t>Safe Working Load</w:t>
            </w:r>
          </w:p>
          <w:p w14:paraId="65DDE190" w14:textId="77777777" w:rsidR="00FA3742" w:rsidRPr="00FA3742" w:rsidRDefault="00FA3742" w:rsidP="00501373">
            <w:pPr>
              <w:pStyle w:val="ListParagraph"/>
              <w:numPr>
                <w:ilvl w:val="0"/>
                <w:numId w:val="21"/>
              </w:numPr>
              <w:spacing w:before="60" w:after="60" w:line="240" w:lineRule="auto"/>
              <w:ind w:left="461"/>
              <w:contextualSpacing w:val="0"/>
            </w:pPr>
            <w:r w:rsidRPr="00FA3742">
              <w:t>Proper Loading</w:t>
            </w:r>
          </w:p>
          <w:p w14:paraId="0C232D67" w14:textId="77777777" w:rsidR="00FA3742" w:rsidRPr="00FA3742" w:rsidRDefault="00FA3742" w:rsidP="00501373">
            <w:pPr>
              <w:pStyle w:val="ListParagraph"/>
              <w:numPr>
                <w:ilvl w:val="0"/>
                <w:numId w:val="21"/>
              </w:numPr>
              <w:spacing w:before="60" w:after="60" w:line="240" w:lineRule="auto"/>
              <w:ind w:left="461"/>
              <w:contextualSpacing w:val="0"/>
            </w:pPr>
            <w:r w:rsidRPr="00FA3742">
              <w:t>Stand Clear</w:t>
            </w:r>
          </w:p>
          <w:p w14:paraId="3C9184F6" w14:textId="77777777" w:rsidR="00FA3742" w:rsidRPr="00FA3742" w:rsidRDefault="00FA3742" w:rsidP="00501373">
            <w:pPr>
              <w:pStyle w:val="ListParagraph"/>
              <w:numPr>
                <w:ilvl w:val="0"/>
                <w:numId w:val="21"/>
              </w:numPr>
              <w:spacing w:before="60" w:after="60" w:line="240" w:lineRule="auto"/>
              <w:ind w:left="461"/>
              <w:contextualSpacing w:val="0"/>
            </w:pPr>
            <w:r w:rsidRPr="00FA3742">
              <w:t>Manual Operation instructions</w:t>
            </w:r>
          </w:p>
          <w:p w14:paraId="35A6A237" w14:textId="77777777" w:rsidR="00FA3742" w:rsidRPr="00FA3742" w:rsidRDefault="00FA3742" w:rsidP="00501373">
            <w:pPr>
              <w:pStyle w:val="ListParagraph"/>
              <w:numPr>
                <w:ilvl w:val="0"/>
                <w:numId w:val="21"/>
              </w:numPr>
              <w:spacing w:before="60" w:after="60" w:line="240" w:lineRule="auto"/>
              <w:ind w:left="461"/>
              <w:contextualSpacing w:val="0"/>
            </w:pPr>
            <w:r w:rsidRPr="00FA3742">
              <w:t>Emergency Release.</w:t>
            </w:r>
          </w:p>
          <w:p w14:paraId="51327104" w14:textId="4CCA8765" w:rsidR="00FA3742" w:rsidRPr="00FA3742" w:rsidRDefault="00FA3742" w:rsidP="00501373">
            <w:pPr>
              <w:pStyle w:val="ListParagraph"/>
              <w:numPr>
                <w:ilvl w:val="0"/>
                <w:numId w:val="21"/>
              </w:numPr>
              <w:spacing w:before="60" w:after="60" w:line="240" w:lineRule="auto"/>
              <w:ind w:left="461"/>
              <w:contextualSpacing w:val="0"/>
            </w:pPr>
            <w:r w:rsidRPr="00FA3742">
              <w:t>Standee instructions and stand centre label (if hoist allows).</w:t>
            </w:r>
          </w:p>
        </w:tc>
        <w:tc>
          <w:tcPr>
            <w:tcW w:w="2410" w:type="dxa"/>
          </w:tcPr>
          <w:p w14:paraId="66E9C41A" w14:textId="77777777" w:rsidR="00FA3742" w:rsidRPr="00582B2A" w:rsidRDefault="00FA3742" w:rsidP="00501373">
            <w:pPr>
              <w:spacing w:before="60" w:after="60"/>
              <w:rPr>
                <w:sz w:val="22"/>
              </w:rPr>
            </w:pPr>
          </w:p>
        </w:tc>
        <w:tc>
          <w:tcPr>
            <w:tcW w:w="4536" w:type="dxa"/>
            <w:vMerge w:val="restart"/>
          </w:tcPr>
          <w:p w14:paraId="31150857" w14:textId="77777777" w:rsidR="00FA3742" w:rsidRPr="00582B2A" w:rsidRDefault="00FA3742" w:rsidP="00501373">
            <w:pPr>
              <w:spacing w:before="60" w:after="60"/>
              <w:rPr>
                <w:sz w:val="22"/>
              </w:rPr>
            </w:pPr>
          </w:p>
        </w:tc>
      </w:tr>
      <w:tr w:rsidR="00FA3742" w:rsidRPr="00582B2A" w14:paraId="49870930" w14:textId="77777777" w:rsidTr="00501373">
        <w:trPr>
          <w:cantSplit/>
          <w:trHeight w:val="357"/>
          <w:jc w:val="center"/>
        </w:trPr>
        <w:tc>
          <w:tcPr>
            <w:tcW w:w="1555" w:type="dxa"/>
            <w:vMerge/>
            <w:shd w:val="clear" w:color="auto" w:fill="auto"/>
          </w:tcPr>
          <w:p w14:paraId="25E18A10" w14:textId="77777777" w:rsidR="00FA3742" w:rsidRPr="00582B2A" w:rsidRDefault="00FA3742" w:rsidP="00501373">
            <w:pPr>
              <w:spacing w:before="60" w:after="60"/>
              <w:rPr>
                <w:sz w:val="22"/>
              </w:rPr>
            </w:pPr>
          </w:p>
        </w:tc>
        <w:tc>
          <w:tcPr>
            <w:tcW w:w="6945" w:type="dxa"/>
          </w:tcPr>
          <w:p w14:paraId="587A54D6" w14:textId="1ABC73AA" w:rsidR="00FA3742" w:rsidRPr="00FA3742" w:rsidRDefault="00FA3742" w:rsidP="00501373">
            <w:pPr>
              <w:spacing w:before="60" w:after="60"/>
              <w:rPr>
                <w:sz w:val="22"/>
              </w:rPr>
            </w:pPr>
            <w:r w:rsidRPr="00FA3742">
              <w:rPr>
                <w:sz w:val="22"/>
              </w:rPr>
              <w:t>The hoists manual backup pump is working.</w:t>
            </w:r>
          </w:p>
        </w:tc>
        <w:tc>
          <w:tcPr>
            <w:tcW w:w="2410" w:type="dxa"/>
          </w:tcPr>
          <w:p w14:paraId="68158B74" w14:textId="77777777" w:rsidR="00FA3742" w:rsidRPr="00582B2A" w:rsidRDefault="00FA3742" w:rsidP="00501373">
            <w:pPr>
              <w:spacing w:before="60" w:after="60"/>
              <w:rPr>
                <w:sz w:val="22"/>
              </w:rPr>
            </w:pPr>
          </w:p>
        </w:tc>
        <w:tc>
          <w:tcPr>
            <w:tcW w:w="4536" w:type="dxa"/>
            <w:vMerge/>
          </w:tcPr>
          <w:p w14:paraId="1D93C8B2" w14:textId="77777777" w:rsidR="00FA3742" w:rsidRPr="00582B2A" w:rsidRDefault="00FA3742" w:rsidP="00501373">
            <w:pPr>
              <w:spacing w:before="60" w:after="60"/>
              <w:rPr>
                <w:sz w:val="22"/>
              </w:rPr>
            </w:pPr>
          </w:p>
        </w:tc>
      </w:tr>
      <w:tr w:rsidR="00FA3742" w:rsidRPr="00582B2A" w14:paraId="3073DCFC" w14:textId="77777777" w:rsidTr="00501373">
        <w:trPr>
          <w:cantSplit/>
          <w:trHeight w:val="357"/>
          <w:jc w:val="center"/>
        </w:trPr>
        <w:tc>
          <w:tcPr>
            <w:tcW w:w="1555" w:type="dxa"/>
            <w:vMerge/>
            <w:shd w:val="clear" w:color="auto" w:fill="auto"/>
          </w:tcPr>
          <w:p w14:paraId="3B689706" w14:textId="77777777" w:rsidR="00FA3742" w:rsidRPr="00582B2A" w:rsidRDefault="00FA3742" w:rsidP="00501373">
            <w:pPr>
              <w:spacing w:before="60" w:after="60"/>
              <w:rPr>
                <w:sz w:val="22"/>
              </w:rPr>
            </w:pPr>
          </w:p>
        </w:tc>
        <w:tc>
          <w:tcPr>
            <w:tcW w:w="6945" w:type="dxa"/>
          </w:tcPr>
          <w:p w14:paraId="367695ED" w14:textId="0378E42C" w:rsidR="00FA3742" w:rsidRPr="00FA3742" w:rsidRDefault="00FA3742" w:rsidP="00501373">
            <w:pPr>
              <w:spacing w:before="60" w:after="60"/>
              <w:rPr>
                <w:sz w:val="22"/>
              </w:rPr>
            </w:pPr>
            <w:r w:rsidRPr="00FA3742">
              <w:rPr>
                <w:sz w:val="22"/>
              </w:rPr>
              <w:t>The roll stop (outer Barrier) locks when off the ground.</w:t>
            </w:r>
          </w:p>
        </w:tc>
        <w:tc>
          <w:tcPr>
            <w:tcW w:w="2410" w:type="dxa"/>
          </w:tcPr>
          <w:p w14:paraId="7E626947" w14:textId="77777777" w:rsidR="00FA3742" w:rsidRPr="00582B2A" w:rsidRDefault="00FA3742" w:rsidP="00501373">
            <w:pPr>
              <w:spacing w:before="60" w:after="60"/>
              <w:rPr>
                <w:sz w:val="22"/>
              </w:rPr>
            </w:pPr>
          </w:p>
        </w:tc>
        <w:tc>
          <w:tcPr>
            <w:tcW w:w="4536" w:type="dxa"/>
            <w:vMerge/>
          </w:tcPr>
          <w:p w14:paraId="206DD43D" w14:textId="77777777" w:rsidR="00FA3742" w:rsidRPr="00582B2A" w:rsidRDefault="00FA3742" w:rsidP="00501373">
            <w:pPr>
              <w:spacing w:before="60" w:after="60"/>
              <w:rPr>
                <w:sz w:val="22"/>
              </w:rPr>
            </w:pPr>
          </w:p>
        </w:tc>
      </w:tr>
      <w:tr w:rsidR="00FA3742" w:rsidRPr="00582B2A" w14:paraId="6B08EC7A" w14:textId="77777777" w:rsidTr="00501373">
        <w:trPr>
          <w:cantSplit/>
          <w:trHeight w:val="357"/>
          <w:jc w:val="center"/>
        </w:trPr>
        <w:tc>
          <w:tcPr>
            <w:tcW w:w="1555" w:type="dxa"/>
            <w:vMerge/>
            <w:shd w:val="clear" w:color="auto" w:fill="auto"/>
          </w:tcPr>
          <w:p w14:paraId="128AD16F" w14:textId="77777777" w:rsidR="00FA3742" w:rsidRPr="00582B2A" w:rsidRDefault="00FA3742" w:rsidP="00501373">
            <w:pPr>
              <w:spacing w:before="60" w:after="60"/>
              <w:rPr>
                <w:sz w:val="22"/>
              </w:rPr>
            </w:pPr>
          </w:p>
        </w:tc>
        <w:tc>
          <w:tcPr>
            <w:tcW w:w="6945" w:type="dxa"/>
          </w:tcPr>
          <w:p w14:paraId="72914100" w14:textId="29CDF090" w:rsidR="00FA3742" w:rsidRPr="00FA3742" w:rsidRDefault="00FA3742" w:rsidP="00501373">
            <w:pPr>
              <w:spacing w:before="60" w:after="60"/>
              <w:rPr>
                <w:sz w:val="22"/>
              </w:rPr>
            </w:pPr>
            <w:r w:rsidRPr="00FA3742">
              <w:rPr>
                <w:sz w:val="22"/>
              </w:rPr>
              <w:t>The bridge plate (Inboard roll stop) operates correctly.</w:t>
            </w:r>
          </w:p>
        </w:tc>
        <w:tc>
          <w:tcPr>
            <w:tcW w:w="2410" w:type="dxa"/>
          </w:tcPr>
          <w:p w14:paraId="49778740" w14:textId="77777777" w:rsidR="00FA3742" w:rsidRPr="00582B2A" w:rsidRDefault="00FA3742" w:rsidP="00501373">
            <w:pPr>
              <w:spacing w:before="60" w:after="60"/>
              <w:rPr>
                <w:sz w:val="22"/>
              </w:rPr>
            </w:pPr>
          </w:p>
        </w:tc>
        <w:tc>
          <w:tcPr>
            <w:tcW w:w="4536" w:type="dxa"/>
            <w:vMerge/>
          </w:tcPr>
          <w:p w14:paraId="098C6B9C" w14:textId="77777777" w:rsidR="00FA3742" w:rsidRPr="00582B2A" w:rsidRDefault="00FA3742" w:rsidP="00501373">
            <w:pPr>
              <w:spacing w:before="60" w:after="60"/>
              <w:rPr>
                <w:sz w:val="22"/>
              </w:rPr>
            </w:pPr>
          </w:p>
        </w:tc>
      </w:tr>
      <w:tr w:rsidR="00FA3742" w:rsidRPr="00582B2A" w14:paraId="739171C5" w14:textId="77777777" w:rsidTr="00501373">
        <w:trPr>
          <w:cantSplit/>
          <w:trHeight w:val="357"/>
          <w:jc w:val="center"/>
        </w:trPr>
        <w:tc>
          <w:tcPr>
            <w:tcW w:w="1555" w:type="dxa"/>
            <w:vMerge/>
            <w:shd w:val="clear" w:color="auto" w:fill="auto"/>
          </w:tcPr>
          <w:p w14:paraId="37CF2A21" w14:textId="77777777" w:rsidR="00FA3742" w:rsidRPr="00582B2A" w:rsidRDefault="00FA3742" w:rsidP="00501373">
            <w:pPr>
              <w:spacing w:before="60" w:after="60"/>
              <w:rPr>
                <w:sz w:val="22"/>
              </w:rPr>
            </w:pPr>
          </w:p>
        </w:tc>
        <w:tc>
          <w:tcPr>
            <w:tcW w:w="6945" w:type="dxa"/>
          </w:tcPr>
          <w:p w14:paraId="21901420" w14:textId="2AD6F513" w:rsidR="00FA3742" w:rsidRPr="00FA3742" w:rsidRDefault="00FA3742" w:rsidP="00501373">
            <w:pPr>
              <w:spacing w:before="60" w:after="60"/>
              <w:rPr>
                <w:sz w:val="22"/>
              </w:rPr>
            </w:pPr>
            <w:r w:rsidRPr="00FA3742">
              <w:rPr>
                <w:sz w:val="22"/>
              </w:rPr>
              <w:t>The Control Pendant is in working order (Not damaged).</w:t>
            </w:r>
          </w:p>
        </w:tc>
        <w:tc>
          <w:tcPr>
            <w:tcW w:w="2410" w:type="dxa"/>
          </w:tcPr>
          <w:p w14:paraId="2F60C4D3" w14:textId="77777777" w:rsidR="00FA3742" w:rsidRPr="00582B2A" w:rsidRDefault="00FA3742" w:rsidP="00501373">
            <w:pPr>
              <w:spacing w:before="60" w:after="60"/>
              <w:rPr>
                <w:sz w:val="22"/>
              </w:rPr>
            </w:pPr>
          </w:p>
        </w:tc>
        <w:tc>
          <w:tcPr>
            <w:tcW w:w="4536" w:type="dxa"/>
            <w:vMerge/>
          </w:tcPr>
          <w:p w14:paraId="2E6BAB25" w14:textId="77777777" w:rsidR="00FA3742" w:rsidRPr="00582B2A" w:rsidRDefault="00FA3742" w:rsidP="00501373">
            <w:pPr>
              <w:spacing w:before="60" w:after="60"/>
              <w:rPr>
                <w:sz w:val="22"/>
              </w:rPr>
            </w:pPr>
          </w:p>
        </w:tc>
      </w:tr>
      <w:tr w:rsidR="00FA3742" w:rsidRPr="00582B2A" w14:paraId="3C837B86" w14:textId="77777777" w:rsidTr="00501373">
        <w:trPr>
          <w:cantSplit/>
          <w:trHeight w:val="357"/>
          <w:jc w:val="center"/>
        </w:trPr>
        <w:tc>
          <w:tcPr>
            <w:tcW w:w="1555" w:type="dxa"/>
            <w:vMerge/>
            <w:shd w:val="clear" w:color="auto" w:fill="auto"/>
          </w:tcPr>
          <w:p w14:paraId="02D46F19" w14:textId="77777777" w:rsidR="00FA3742" w:rsidRPr="00582B2A" w:rsidRDefault="00FA3742" w:rsidP="00501373">
            <w:pPr>
              <w:spacing w:before="60" w:after="60"/>
              <w:rPr>
                <w:sz w:val="22"/>
              </w:rPr>
            </w:pPr>
          </w:p>
        </w:tc>
        <w:tc>
          <w:tcPr>
            <w:tcW w:w="6945" w:type="dxa"/>
          </w:tcPr>
          <w:p w14:paraId="2AB6C110" w14:textId="5128282F" w:rsidR="00FA3742" w:rsidRPr="00FA3742" w:rsidRDefault="00FA3742" w:rsidP="00501373">
            <w:pPr>
              <w:spacing w:before="60" w:after="60"/>
              <w:rPr>
                <w:sz w:val="22"/>
              </w:rPr>
            </w:pPr>
            <w:r w:rsidRPr="00FA3742">
              <w:rPr>
                <w:sz w:val="22"/>
              </w:rPr>
              <w:t>The hoist audible alarm is working if fitted.</w:t>
            </w:r>
          </w:p>
        </w:tc>
        <w:tc>
          <w:tcPr>
            <w:tcW w:w="2410" w:type="dxa"/>
          </w:tcPr>
          <w:p w14:paraId="40195862" w14:textId="77777777" w:rsidR="00FA3742" w:rsidRPr="00582B2A" w:rsidRDefault="00FA3742" w:rsidP="00501373">
            <w:pPr>
              <w:spacing w:before="60" w:after="60"/>
              <w:rPr>
                <w:sz w:val="22"/>
              </w:rPr>
            </w:pPr>
          </w:p>
        </w:tc>
        <w:tc>
          <w:tcPr>
            <w:tcW w:w="4536" w:type="dxa"/>
            <w:vMerge/>
          </w:tcPr>
          <w:p w14:paraId="276082B7" w14:textId="77777777" w:rsidR="00FA3742" w:rsidRPr="00582B2A" w:rsidRDefault="00FA3742" w:rsidP="00501373">
            <w:pPr>
              <w:spacing w:before="60" w:after="60"/>
              <w:rPr>
                <w:sz w:val="22"/>
              </w:rPr>
            </w:pPr>
          </w:p>
        </w:tc>
      </w:tr>
      <w:tr w:rsidR="00FA3742" w:rsidRPr="00582B2A" w14:paraId="08439C6F" w14:textId="77777777" w:rsidTr="00501373">
        <w:trPr>
          <w:cantSplit/>
          <w:trHeight w:val="64"/>
          <w:jc w:val="center"/>
        </w:trPr>
        <w:tc>
          <w:tcPr>
            <w:tcW w:w="1555" w:type="dxa"/>
            <w:vMerge/>
            <w:shd w:val="clear" w:color="auto" w:fill="auto"/>
          </w:tcPr>
          <w:p w14:paraId="1032E704" w14:textId="77777777" w:rsidR="00FA3742" w:rsidRPr="00582B2A" w:rsidRDefault="00FA3742" w:rsidP="00501373">
            <w:pPr>
              <w:spacing w:before="60" w:after="60"/>
              <w:rPr>
                <w:sz w:val="22"/>
              </w:rPr>
            </w:pPr>
          </w:p>
        </w:tc>
        <w:tc>
          <w:tcPr>
            <w:tcW w:w="6945" w:type="dxa"/>
          </w:tcPr>
          <w:p w14:paraId="0BD54D10" w14:textId="01F893AD" w:rsidR="00FA3742" w:rsidRPr="00FA3742" w:rsidRDefault="00FA3742" w:rsidP="00501373">
            <w:pPr>
              <w:spacing w:before="60" w:after="60"/>
              <w:rPr>
                <w:sz w:val="22"/>
              </w:rPr>
            </w:pPr>
            <w:r w:rsidRPr="00FA3742">
              <w:rPr>
                <w:sz w:val="22"/>
              </w:rPr>
              <w:t>The hoist is free from any damage that may affect the operation of hoist.</w:t>
            </w:r>
          </w:p>
        </w:tc>
        <w:tc>
          <w:tcPr>
            <w:tcW w:w="2410" w:type="dxa"/>
          </w:tcPr>
          <w:p w14:paraId="10FA12AB" w14:textId="77777777" w:rsidR="00FA3742" w:rsidRPr="00582B2A" w:rsidRDefault="00FA3742" w:rsidP="00501373">
            <w:pPr>
              <w:spacing w:before="60" w:after="60"/>
              <w:rPr>
                <w:sz w:val="22"/>
              </w:rPr>
            </w:pPr>
          </w:p>
        </w:tc>
        <w:tc>
          <w:tcPr>
            <w:tcW w:w="4536" w:type="dxa"/>
            <w:vMerge/>
          </w:tcPr>
          <w:p w14:paraId="64AAD1E8" w14:textId="77777777" w:rsidR="00FA3742" w:rsidRPr="00582B2A" w:rsidRDefault="00FA3742" w:rsidP="00501373">
            <w:pPr>
              <w:spacing w:before="60" w:after="60"/>
              <w:rPr>
                <w:sz w:val="22"/>
              </w:rPr>
            </w:pPr>
          </w:p>
        </w:tc>
      </w:tr>
    </w:tbl>
    <w:p w14:paraId="01E2CF3E" w14:textId="77777777" w:rsidR="00E0725D" w:rsidRDefault="00E0725D" w:rsidP="00E0725D">
      <w:pPr>
        <w:spacing w:after="160" w:line="259" w:lineRule="auto"/>
        <w:rPr>
          <w:sz w:val="22"/>
        </w:rPr>
      </w:pPr>
    </w:p>
    <w:p w14:paraId="0721BCF2" w14:textId="61B54346" w:rsidR="00582B2A" w:rsidRPr="00582B2A" w:rsidRDefault="00582B2A" w:rsidP="00E0725D">
      <w:pPr>
        <w:spacing w:after="160" w:line="259" w:lineRule="auto"/>
        <w:rPr>
          <w:sz w:val="22"/>
        </w:rPr>
      </w:pPr>
      <w:r w:rsidRPr="00582B2A">
        <w:rPr>
          <w:sz w:val="22"/>
        </w:rPr>
        <w:t>Notes</w:t>
      </w:r>
    </w:p>
    <w:p w14:paraId="345A4C4F" w14:textId="77777777" w:rsidR="00582B2A" w:rsidRPr="00582B2A" w:rsidRDefault="00582B2A" w:rsidP="00582B2A">
      <w:pPr>
        <w:pStyle w:val="ListParagraph"/>
        <w:numPr>
          <w:ilvl w:val="0"/>
          <w:numId w:val="22"/>
        </w:numPr>
      </w:pPr>
      <w:r w:rsidRPr="00582B2A">
        <w:t>If the hoist was fitted prior to 16 October 2015 then the WTORS must comply with the 2009 standards, if fitted after that date then it must comply with the 2015 standards.</w:t>
      </w:r>
    </w:p>
    <w:p w14:paraId="072E359D" w14:textId="77777777" w:rsidR="00582B2A" w:rsidRPr="00582B2A" w:rsidRDefault="00582B2A" w:rsidP="00582B2A">
      <w:pPr>
        <w:pStyle w:val="ListParagraph"/>
        <w:numPr>
          <w:ilvl w:val="0"/>
          <w:numId w:val="22"/>
        </w:numPr>
      </w:pPr>
      <w:r w:rsidRPr="00582B2A">
        <w:t>Manufactures recommendation is if the hoist has a high usage then it requires to be inspected/serviced every 6 months, if it is Metro based then it will be of high usage discretion on country WAV is required.</w:t>
      </w:r>
    </w:p>
    <w:p w14:paraId="12CB8362" w14:textId="77777777" w:rsidR="00582B2A" w:rsidRPr="00582B2A" w:rsidRDefault="00582B2A" w:rsidP="00582B2A">
      <w:pPr>
        <w:pStyle w:val="ListParagraph"/>
        <w:numPr>
          <w:ilvl w:val="0"/>
          <w:numId w:val="22"/>
        </w:numPr>
      </w:pPr>
      <w:r w:rsidRPr="00582B2A">
        <w:t>The information that is required on all belt labels are Manufacturer’s name or trade mark, the month and year of manufacture and an indication that the WTORS conforms to ISO 10542</w:t>
      </w:r>
    </w:p>
    <w:p w14:paraId="4B19DBBE" w14:textId="77777777" w:rsidR="00582B2A" w:rsidRDefault="00582B2A" w:rsidP="00582B2A">
      <w:pPr>
        <w:pStyle w:val="ListParagraph"/>
        <w:numPr>
          <w:ilvl w:val="0"/>
          <w:numId w:val="22"/>
        </w:numPr>
      </w:pPr>
      <w:r w:rsidRPr="00582B2A">
        <w:t>If the WAV is licenced and or modified to carry two wheelchairs, then there is a requirement that they carry two full sets. When inspecting the belts, you inspect them as if they are the same as normal seat belt.</w:t>
      </w:r>
    </w:p>
    <w:p w14:paraId="4266AC40" w14:textId="6B021CDB" w:rsidR="00582B2A" w:rsidRPr="00582B2A" w:rsidRDefault="00582B2A" w:rsidP="00582B2A">
      <w:pPr>
        <w:pStyle w:val="ListParagraph"/>
        <w:numPr>
          <w:ilvl w:val="0"/>
          <w:numId w:val="22"/>
        </w:numPr>
      </w:pPr>
      <w:r w:rsidRPr="00582B2A">
        <w:t xml:space="preserve">The minimum number of labels are SWL, Proper loading, stand clear, Manual operation and emergency release. If the hoist allows for standing passengers, then it will also need a standee instruction and stand centre label. </w:t>
      </w:r>
    </w:p>
    <w:sectPr w:rsidR="00582B2A" w:rsidRPr="00582B2A" w:rsidSect="004542EA">
      <w:footerReference w:type="even" r:id="rId12"/>
      <w:footerReference w:type="default" r:id="rId13"/>
      <w:headerReference w:type="first" r:id="rId14"/>
      <w:footerReference w:type="first" r:id="rId15"/>
      <w:pgSz w:w="16838" w:h="11906" w:orient="landscape" w:code="9"/>
      <w:pgMar w:top="851" w:right="851" w:bottom="851" w:left="851" w:header="709" w:footer="340"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335E3" w14:textId="77777777" w:rsidR="009C5195" w:rsidRDefault="009C5195" w:rsidP="008E1E81">
      <w:r>
        <w:separator/>
      </w:r>
    </w:p>
  </w:endnote>
  <w:endnote w:type="continuationSeparator" w:id="0">
    <w:p w14:paraId="406210D6" w14:textId="77777777" w:rsidR="009C5195" w:rsidRDefault="009C5195" w:rsidP="008E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8615" w14:textId="6A1732E7" w:rsidR="00930835" w:rsidRDefault="00930835" w:rsidP="008E1E81">
    <w:pPr>
      <w:pStyle w:val="Footer"/>
    </w:pPr>
    <w:r>
      <w:fldChar w:fldCharType="begin"/>
    </w:r>
    <w:r>
      <w:instrText xml:space="preserve"> PAGE   \* MERGEFORMAT </w:instrText>
    </w:r>
    <w:r>
      <w:fldChar w:fldCharType="separate"/>
    </w:r>
    <w:r w:rsidR="00E66818">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764833"/>
      <w:docPartObj>
        <w:docPartGallery w:val="Page Numbers (Bottom of Page)"/>
        <w:docPartUnique/>
      </w:docPartObj>
    </w:sdtPr>
    <w:sdtEndPr>
      <w:rPr>
        <w:noProof/>
      </w:rPr>
    </w:sdtEndPr>
    <w:sdtContent>
      <w:p w14:paraId="540D5E61" w14:textId="19DCDC0B" w:rsidR="00501373" w:rsidRDefault="00501373">
        <w:pPr>
          <w:pStyle w:val="Footer"/>
          <w:jc w:val="right"/>
        </w:pPr>
        <w:r>
          <w:fldChar w:fldCharType="begin"/>
        </w:r>
        <w:r>
          <w:instrText xml:space="preserve"> PAGE   \* MERGEFORMAT </w:instrText>
        </w:r>
        <w:r>
          <w:fldChar w:fldCharType="separate"/>
        </w:r>
        <w:r w:rsidR="00355805">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934326"/>
      <w:docPartObj>
        <w:docPartGallery w:val="Page Numbers (Bottom of Page)"/>
        <w:docPartUnique/>
      </w:docPartObj>
    </w:sdtPr>
    <w:sdtEndPr>
      <w:rPr>
        <w:noProof/>
      </w:rPr>
    </w:sdtEndPr>
    <w:sdtContent>
      <w:p w14:paraId="2D4F71E2" w14:textId="388BC540" w:rsidR="00501373" w:rsidRDefault="00501373">
        <w:pPr>
          <w:pStyle w:val="Footer"/>
          <w:jc w:val="right"/>
        </w:pPr>
        <w:r>
          <w:fldChar w:fldCharType="begin"/>
        </w:r>
        <w:r>
          <w:instrText xml:space="preserve"> PAGE   \* MERGEFORMAT </w:instrText>
        </w:r>
        <w:r>
          <w:fldChar w:fldCharType="separate"/>
        </w:r>
        <w:r w:rsidR="0035580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AC117" w14:textId="77777777" w:rsidR="009C5195" w:rsidRDefault="009C5195" w:rsidP="008E1E81">
      <w:r>
        <w:separator/>
      </w:r>
    </w:p>
  </w:footnote>
  <w:footnote w:type="continuationSeparator" w:id="0">
    <w:p w14:paraId="3AAC8B99" w14:textId="77777777" w:rsidR="009C5195" w:rsidRDefault="009C5195" w:rsidP="008E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A1C6" w14:textId="644DB498" w:rsidR="00F66567" w:rsidRDefault="00501373" w:rsidP="008E1E81">
    <w:pPr>
      <w:pStyle w:val="Header"/>
    </w:pPr>
    <w:r>
      <w:rPr>
        <w:noProof/>
        <w:lang w:eastAsia="en-AU"/>
      </w:rPr>
      <w:drawing>
        <wp:anchor distT="0" distB="0" distL="114300" distR="114300" simplePos="0" relativeHeight="251661312" behindDoc="1" locked="0" layoutInCell="1" allowOverlap="1" wp14:anchorId="14162355" wp14:editId="29554A85">
          <wp:simplePos x="0" y="0"/>
          <wp:positionH relativeFrom="column">
            <wp:posOffset>-571500</wp:posOffset>
          </wp:positionH>
          <wp:positionV relativeFrom="paragraph">
            <wp:posOffset>-457835</wp:posOffset>
          </wp:positionV>
          <wp:extent cx="10711452" cy="1139772"/>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P DoT Blue 7461 Stack.jpg"/>
                  <pic:cNvPicPr/>
                </pic:nvPicPr>
                <pic:blipFill>
                  <a:blip r:embed="rId1">
                    <a:extLst>
                      <a:ext uri="{28A0092B-C50C-407E-A947-70E740481C1C}">
                        <a14:useLocalDpi xmlns:a14="http://schemas.microsoft.com/office/drawing/2010/main" val="0"/>
                      </a:ext>
                    </a:extLst>
                  </a:blip>
                  <a:stretch>
                    <a:fillRect/>
                  </a:stretch>
                </pic:blipFill>
                <pic:spPr>
                  <a:xfrm>
                    <a:off x="0" y="0"/>
                    <a:ext cx="10711452" cy="1139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66567">
      <w:tab/>
    </w:r>
  </w:p>
  <w:p w14:paraId="780000AF" w14:textId="77777777" w:rsidR="00F66567" w:rsidRDefault="00F66567" w:rsidP="008E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C853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F6C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5E9C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BAF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EA5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A6EE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6C08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FA95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1AD2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1E4A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E5A83"/>
    <w:multiLevelType w:val="hybridMultilevel"/>
    <w:tmpl w:val="3B22F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F7223"/>
    <w:multiLevelType w:val="multilevel"/>
    <w:tmpl w:val="1F08EBC0"/>
    <w:lvl w:ilvl="0">
      <w:start w:val="1"/>
      <w:numFmt w:val="bullet"/>
      <w:pStyle w:val="Bullet1"/>
      <w:lvlText w:val=""/>
      <w:lvlJc w:val="left"/>
      <w:pPr>
        <w:ind w:left="284" w:hanging="284"/>
      </w:pPr>
      <w:rPr>
        <w:rFonts w:ascii="Symbol" w:hAnsi="Symbol" w:hint="default"/>
        <w:color w:val="0194D3"/>
      </w:rPr>
    </w:lvl>
    <w:lvl w:ilvl="1">
      <w:start w:val="1"/>
      <w:numFmt w:val="bullet"/>
      <w:pStyle w:val="Bullet2"/>
      <w:lvlText w:val=""/>
      <w:lvlJc w:val="left"/>
      <w:pPr>
        <w:ind w:left="568" w:hanging="284"/>
      </w:pPr>
      <w:rPr>
        <w:rFonts w:ascii="Symbol" w:hAnsi="Symbol" w:hint="default"/>
        <w:color w:val="0194D3"/>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0BDC2522"/>
    <w:multiLevelType w:val="hybridMultilevel"/>
    <w:tmpl w:val="A2D8E7CC"/>
    <w:lvl w:ilvl="0" w:tplc="0C090001">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8078A2"/>
    <w:multiLevelType w:val="hybridMultilevel"/>
    <w:tmpl w:val="18EEAEEC"/>
    <w:lvl w:ilvl="0" w:tplc="0C090001">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4C352F"/>
    <w:multiLevelType w:val="hybridMultilevel"/>
    <w:tmpl w:val="76BEE6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D6D4253"/>
    <w:multiLevelType w:val="hybridMultilevel"/>
    <w:tmpl w:val="2C7049A2"/>
    <w:lvl w:ilvl="0" w:tplc="8CB8171E">
      <w:start w:val="1"/>
      <w:numFmt w:val="bullet"/>
      <w:lvlText w:val=""/>
      <w:lvlJc w:val="left"/>
      <w:pPr>
        <w:ind w:left="1004" w:hanging="360"/>
      </w:pPr>
      <w:rPr>
        <w:rFonts w:ascii="Symbol" w:hAnsi="Symbol" w:hint="default"/>
        <w:color w:val="1A1A1A"/>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CE06C94"/>
    <w:multiLevelType w:val="hybridMultilevel"/>
    <w:tmpl w:val="3490C33A"/>
    <w:lvl w:ilvl="0" w:tplc="FEDE28C6">
      <w:start w:val="1"/>
      <w:numFmt w:val="decimal"/>
      <w:pStyle w:val="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01745B6"/>
    <w:multiLevelType w:val="hybridMultilevel"/>
    <w:tmpl w:val="14543D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C95212"/>
    <w:multiLevelType w:val="hybridMultilevel"/>
    <w:tmpl w:val="F11C7CFA"/>
    <w:lvl w:ilvl="0" w:tplc="61A67BA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2E0E71"/>
    <w:multiLevelType w:val="hybridMultilevel"/>
    <w:tmpl w:val="63FA0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7"/>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13"/>
  </w:num>
  <w:num w:numId="19">
    <w:abstractNumId w:val="12"/>
  </w:num>
  <w:num w:numId="20">
    <w:abstractNumId w:val="19"/>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42"/>
    <w:rsid w:val="00010749"/>
    <w:rsid w:val="00022199"/>
    <w:rsid w:val="00055CF1"/>
    <w:rsid w:val="00085E9B"/>
    <w:rsid w:val="000C38B8"/>
    <w:rsid w:val="001141A4"/>
    <w:rsid w:val="0012705D"/>
    <w:rsid w:val="00135470"/>
    <w:rsid w:val="0015425B"/>
    <w:rsid w:val="0016049D"/>
    <w:rsid w:val="001826C9"/>
    <w:rsid w:val="001A68B7"/>
    <w:rsid w:val="001E0B5F"/>
    <w:rsid w:val="00222D64"/>
    <w:rsid w:val="00227989"/>
    <w:rsid w:val="0025566F"/>
    <w:rsid w:val="0027662E"/>
    <w:rsid w:val="002A5939"/>
    <w:rsid w:val="002C3110"/>
    <w:rsid w:val="002E16F4"/>
    <w:rsid w:val="002F6B40"/>
    <w:rsid w:val="00311E4A"/>
    <w:rsid w:val="003137C3"/>
    <w:rsid w:val="00341A4B"/>
    <w:rsid w:val="00355805"/>
    <w:rsid w:val="0037386E"/>
    <w:rsid w:val="00390DBB"/>
    <w:rsid w:val="003A6192"/>
    <w:rsid w:val="003B5163"/>
    <w:rsid w:val="003D51AE"/>
    <w:rsid w:val="003F00A2"/>
    <w:rsid w:val="00414F24"/>
    <w:rsid w:val="004310A9"/>
    <w:rsid w:val="00451492"/>
    <w:rsid w:val="004542EA"/>
    <w:rsid w:val="004927BD"/>
    <w:rsid w:val="004F0EC6"/>
    <w:rsid w:val="00501373"/>
    <w:rsid w:val="005318B6"/>
    <w:rsid w:val="00547724"/>
    <w:rsid w:val="00582B2A"/>
    <w:rsid w:val="005845EE"/>
    <w:rsid w:val="00593105"/>
    <w:rsid w:val="005F5F76"/>
    <w:rsid w:val="00620342"/>
    <w:rsid w:val="006237AD"/>
    <w:rsid w:val="006264FC"/>
    <w:rsid w:val="00627644"/>
    <w:rsid w:val="0063262C"/>
    <w:rsid w:val="006567E9"/>
    <w:rsid w:val="00662998"/>
    <w:rsid w:val="00684EE4"/>
    <w:rsid w:val="006865AA"/>
    <w:rsid w:val="00743907"/>
    <w:rsid w:val="00750271"/>
    <w:rsid w:val="00761AF7"/>
    <w:rsid w:val="00772682"/>
    <w:rsid w:val="007E0CB6"/>
    <w:rsid w:val="007F3C14"/>
    <w:rsid w:val="008067B1"/>
    <w:rsid w:val="008201C9"/>
    <w:rsid w:val="00827BA2"/>
    <w:rsid w:val="00831574"/>
    <w:rsid w:val="00837B0C"/>
    <w:rsid w:val="00840E1A"/>
    <w:rsid w:val="008500D2"/>
    <w:rsid w:val="0086510F"/>
    <w:rsid w:val="00865766"/>
    <w:rsid w:val="008865B8"/>
    <w:rsid w:val="008A1FB0"/>
    <w:rsid w:val="008A5DFE"/>
    <w:rsid w:val="008C5EE7"/>
    <w:rsid w:val="008E1E81"/>
    <w:rsid w:val="00903690"/>
    <w:rsid w:val="0092725D"/>
    <w:rsid w:val="00930835"/>
    <w:rsid w:val="00931864"/>
    <w:rsid w:val="00935625"/>
    <w:rsid w:val="00936C15"/>
    <w:rsid w:val="00970252"/>
    <w:rsid w:val="00975FC7"/>
    <w:rsid w:val="00980423"/>
    <w:rsid w:val="00987AA0"/>
    <w:rsid w:val="009C5158"/>
    <w:rsid w:val="009C5195"/>
    <w:rsid w:val="00A30A28"/>
    <w:rsid w:val="00A8310C"/>
    <w:rsid w:val="00A8618B"/>
    <w:rsid w:val="00AD6A80"/>
    <w:rsid w:val="00AF165D"/>
    <w:rsid w:val="00AF5659"/>
    <w:rsid w:val="00B2102C"/>
    <w:rsid w:val="00B3045E"/>
    <w:rsid w:val="00B32FC7"/>
    <w:rsid w:val="00B45033"/>
    <w:rsid w:val="00B479EA"/>
    <w:rsid w:val="00B57403"/>
    <w:rsid w:val="00B960D1"/>
    <w:rsid w:val="00B97A33"/>
    <w:rsid w:val="00BA305F"/>
    <w:rsid w:val="00BC0D8F"/>
    <w:rsid w:val="00BD369F"/>
    <w:rsid w:val="00BF0E70"/>
    <w:rsid w:val="00C120C0"/>
    <w:rsid w:val="00C12AE2"/>
    <w:rsid w:val="00C15E8C"/>
    <w:rsid w:val="00C23CAB"/>
    <w:rsid w:val="00CA769F"/>
    <w:rsid w:val="00CD1287"/>
    <w:rsid w:val="00CF7FB2"/>
    <w:rsid w:val="00D20707"/>
    <w:rsid w:val="00D526A2"/>
    <w:rsid w:val="00D625F3"/>
    <w:rsid w:val="00D649C6"/>
    <w:rsid w:val="00D84BF7"/>
    <w:rsid w:val="00D84E88"/>
    <w:rsid w:val="00D92FDC"/>
    <w:rsid w:val="00D951CE"/>
    <w:rsid w:val="00DA12D1"/>
    <w:rsid w:val="00DC3E06"/>
    <w:rsid w:val="00DD2071"/>
    <w:rsid w:val="00DD7E8E"/>
    <w:rsid w:val="00E0725D"/>
    <w:rsid w:val="00E22BAA"/>
    <w:rsid w:val="00E52942"/>
    <w:rsid w:val="00E64668"/>
    <w:rsid w:val="00E66818"/>
    <w:rsid w:val="00E732EE"/>
    <w:rsid w:val="00E8727C"/>
    <w:rsid w:val="00E93B6E"/>
    <w:rsid w:val="00EA1647"/>
    <w:rsid w:val="00EA2437"/>
    <w:rsid w:val="00EE2CB1"/>
    <w:rsid w:val="00F15FEA"/>
    <w:rsid w:val="00F250BA"/>
    <w:rsid w:val="00F334E6"/>
    <w:rsid w:val="00F66567"/>
    <w:rsid w:val="00F71546"/>
    <w:rsid w:val="00F746BD"/>
    <w:rsid w:val="00F85DD2"/>
    <w:rsid w:val="00FA3742"/>
    <w:rsid w:val="00FB055F"/>
    <w:rsid w:val="00FB5AB0"/>
    <w:rsid w:val="00FB7403"/>
    <w:rsid w:val="00FC5FA2"/>
    <w:rsid w:val="00FD48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3153E6"/>
  <w15:docId w15:val="{E7EB3947-8D94-4262-BA6B-E6C8E9F0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1E81"/>
    <w:pPr>
      <w:spacing w:after="113" w:line="240" w:lineRule="auto"/>
    </w:pPr>
    <w:rPr>
      <w:rFonts w:ascii="Arial" w:hAnsi="Arial"/>
      <w:color w:val="1A1A1A"/>
      <w:sz w:val="24"/>
    </w:rPr>
  </w:style>
  <w:style w:type="paragraph" w:styleId="Heading1">
    <w:name w:val="heading 1"/>
    <w:basedOn w:val="Normal"/>
    <w:next w:val="Normal"/>
    <w:link w:val="Heading1Char"/>
    <w:uiPriority w:val="9"/>
    <w:qFormat/>
    <w:rsid w:val="003F00A2"/>
    <w:pPr>
      <w:keepNext/>
      <w:keepLines/>
      <w:spacing w:after="120" w:line="600" w:lineRule="exact"/>
      <w:outlineLvl w:val="0"/>
    </w:pPr>
    <w:rPr>
      <w:rFonts w:eastAsiaTheme="majorEastAsia" w:cs="Arial"/>
      <w:bCs/>
      <w:color w:val="0194D3"/>
      <w:sz w:val="60"/>
      <w:szCs w:val="60"/>
    </w:rPr>
  </w:style>
  <w:style w:type="paragraph" w:styleId="Heading2">
    <w:name w:val="heading 2"/>
    <w:basedOn w:val="Normal"/>
    <w:next w:val="Normal"/>
    <w:link w:val="Heading2Char"/>
    <w:uiPriority w:val="9"/>
    <w:unhideWhenUsed/>
    <w:qFormat/>
    <w:rsid w:val="00761AF7"/>
    <w:pPr>
      <w:keepNext/>
      <w:keepLines/>
      <w:spacing w:before="170" w:after="170" w:line="340" w:lineRule="atLeast"/>
      <w:outlineLvl w:val="1"/>
    </w:pPr>
    <w:rPr>
      <w:rFonts w:eastAsiaTheme="majorEastAsia" w:cs="Arial"/>
      <w:b/>
      <w:bCs/>
      <w:color w:val="0194D3"/>
      <w:sz w:val="30"/>
      <w:szCs w:val="26"/>
    </w:rPr>
  </w:style>
  <w:style w:type="paragraph" w:styleId="Heading3">
    <w:name w:val="heading 3"/>
    <w:basedOn w:val="Normal"/>
    <w:next w:val="Normal"/>
    <w:link w:val="Heading3Char"/>
    <w:uiPriority w:val="9"/>
    <w:unhideWhenUsed/>
    <w:qFormat/>
    <w:rsid w:val="00761AF7"/>
    <w:pPr>
      <w:keepNext/>
      <w:keepLines/>
      <w:spacing w:before="170" w:after="170" w:line="300" w:lineRule="atLeast"/>
      <w:outlineLvl w:val="2"/>
    </w:pPr>
    <w:rPr>
      <w:rFonts w:eastAsiaTheme="majorEastAsia" w:cs="Arial"/>
      <w:bCs/>
      <w:color w:val="0194D3"/>
      <w:sz w:val="26"/>
      <w:lang w:val="en-US"/>
    </w:rPr>
  </w:style>
  <w:style w:type="paragraph" w:styleId="Heading4">
    <w:name w:val="heading 4"/>
    <w:basedOn w:val="Normal"/>
    <w:next w:val="Normal"/>
    <w:link w:val="Heading4Char"/>
    <w:uiPriority w:val="9"/>
    <w:unhideWhenUsed/>
    <w:qFormat/>
    <w:rsid w:val="00936C15"/>
    <w:pPr>
      <w:keepNext/>
      <w:keepLines/>
      <w:spacing w:before="57" w:after="57"/>
      <w:outlineLvl w:val="3"/>
    </w:pPr>
    <w:rPr>
      <w:rFonts w:eastAsiaTheme="majorEastAsia" w:cs="Arial"/>
      <w:b/>
      <w:bCs/>
      <w:iCs/>
    </w:rPr>
  </w:style>
  <w:style w:type="paragraph" w:styleId="Heading5">
    <w:name w:val="heading 5"/>
    <w:basedOn w:val="Normal"/>
    <w:next w:val="Normal"/>
    <w:link w:val="Heading5Char"/>
    <w:uiPriority w:val="9"/>
    <w:unhideWhenUsed/>
    <w:qFormat/>
    <w:rsid w:val="00936C15"/>
    <w:pPr>
      <w:spacing w:before="17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342"/>
    <w:pPr>
      <w:tabs>
        <w:tab w:val="center" w:pos="4513"/>
        <w:tab w:val="right" w:pos="9026"/>
      </w:tabs>
      <w:spacing w:after="0"/>
    </w:pPr>
  </w:style>
  <w:style w:type="character" w:customStyle="1" w:styleId="HeaderChar">
    <w:name w:val="Header Char"/>
    <w:basedOn w:val="DefaultParagraphFont"/>
    <w:link w:val="Header"/>
    <w:uiPriority w:val="99"/>
    <w:rsid w:val="00620342"/>
  </w:style>
  <w:style w:type="paragraph" w:styleId="Footer">
    <w:name w:val="footer"/>
    <w:basedOn w:val="Normal"/>
    <w:link w:val="FooterChar"/>
    <w:uiPriority w:val="99"/>
    <w:unhideWhenUsed/>
    <w:rsid w:val="00620342"/>
    <w:pPr>
      <w:tabs>
        <w:tab w:val="center" w:pos="4513"/>
        <w:tab w:val="right" w:pos="9026"/>
      </w:tabs>
      <w:spacing w:after="0"/>
    </w:pPr>
  </w:style>
  <w:style w:type="character" w:customStyle="1" w:styleId="FooterChar">
    <w:name w:val="Footer Char"/>
    <w:basedOn w:val="DefaultParagraphFont"/>
    <w:link w:val="Footer"/>
    <w:uiPriority w:val="99"/>
    <w:rsid w:val="00620342"/>
  </w:style>
  <w:style w:type="paragraph" w:customStyle="1" w:styleId="Bullet1">
    <w:name w:val="Bullet 1"/>
    <w:basedOn w:val="Normal"/>
    <w:qFormat/>
    <w:rsid w:val="00B97A33"/>
    <w:pPr>
      <w:numPr>
        <w:numId w:val="2"/>
      </w:numPr>
      <w:tabs>
        <w:tab w:val="left" w:pos="284"/>
      </w:tabs>
      <w:spacing w:after="57"/>
    </w:pPr>
  </w:style>
  <w:style w:type="paragraph" w:customStyle="1" w:styleId="Bullet1end">
    <w:name w:val="Bullet 1 end"/>
    <w:basedOn w:val="Bullet1"/>
    <w:qFormat/>
    <w:rsid w:val="00DA12D1"/>
    <w:pPr>
      <w:spacing w:after="113"/>
    </w:pPr>
  </w:style>
  <w:style w:type="paragraph" w:customStyle="1" w:styleId="Bullet2">
    <w:name w:val="Bullet 2"/>
    <w:basedOn w:val="Bullet1end"/>
    <w:qFormat/>
    <w:rsid w:val="00B97A33"/>
    <w:pPr>
      <w:numPr>
        <w:ilvl w:val="1"/>
      </w:numPr>
      <w:tabs>
        <w:tab w:val="clear" w:pos="284"/>
        <w:tab w:val="left" w:pos="567"/>
      </w:tabs>
      <w:spacing w:after="57"/>
    </w:pPr>
  </w:style>
  <w:style w:type="paragraph" w:customStyle="1" w:styleId="Bullet2end">
    <w:name w:val="Bullet 2 end"/>
    <w:basedOn w:val="Bullet2"/>
    <w:qFormat/>
    <w:rsid w:val="006865AA"/>
    <w:pPr>
      <w:spacing w:after="113"/>
    </w:pPr>
  </w:style>
  <w:style w:type="paragraph" w:styleId="TOC1">
    <w:name w:val="toc 1"/>
    <w:basedOn w:val="Normal"/>
    <w:next w:val="Normal"/>
    <w:autoRedefine/>
    <w:uiPriority w:val="39"/>
    <w:unhideWhenUsed/>
    <w:rsid w:val="00935625"/>
    <w:pPr>
      <w:tabs>
        <w:tab w:val="right" w:leader="underscore" w:pos="9072"/>
      </w:tabs>
      <w:ind w:left="850" w:right="1701"/>
    </w:pPr>
    <w:rPr>
      <w:b/>
      <w:caps/>
      <w:noProof/>
    </w:rPr>
  </w:style>
  <w:style w:type="paragraph" w:styleId="TOC2">
    <w:name w:val="toc 2"/>
    <w:basedOn w:val="Normal"/>
    <w:next w:val="Normal"/>
    <w:autoRedefine/>
    <w:uiPriority w:val="39"/>
    <w:unhideWhenUsed/>
    <w:rsid w:val="00935625"/>
    <w:pPr>
      <w:tabs>
        <w:tab w:val="right" w:leader="underscore" w:pos="9072"/>
      </w:tabs>
      <w:spacing w:after="57"/>
      <w:ind w:left="1361" w:right="1701"/>
    </w:pPr>
    <w:rPr>
      <w:noProof/>
    </w:rPr>
  </w:style>
  <w:style w:type="paragraph" w:customStyle="1" w:styleId="CoverH1">
    <w:name w:val="Cover H1"/>
    <w:basedOn w:val="Normal"/>
    <w:next w:val="CoverH2"/>
    <w:rsid w:val="00F71546"/>
    <w:pPr>
      <w:spacing w:before="600" w:after="0" w:line="600" w:lineRule="atLeast"/>
      <w:jc w:val="right"/>
    </w:pPr>
    <w:rPr>
      <w:b/>
      <w:color w:val="FFFFFF" w:themeColor="background1"/>
      <w:sz w:val="60"/>
    </w:rPr>
  </w:style>
  <w:style w:type="paragraph" w:customStyle="1" w:styleId="CoverH2">
    <w:name w:val="Cover H2"/>
    <w:basedOn w:val="CoverH1"/>
    <w:rsid w:val="00F71546"/>
    <w:pPr>
      <w:spacing w:before="0" w:after="320" w:line="480" w:lineRule="exact"/>
    </w:pPr>
    <w:rPr>
      <w:b w:val="0"/>
      <w:sz w:val="48"/>
    </w:rPr>
  </w:style>
  <w:style w:type="character" w:customStyle="1" w:styleId="Heading1Char">
    <w:name w:val="Heading 1 Char"/>
    <w:basedOn w:val="DefaultParagraphFont"/>
    <w:link w:val="Heading1"/>
    <w:uiPriority w:val="9"/>
    <w:rsid w:val="003F00A2"/>
    <w:rPr>
      <w:rFonts w:ascii="Arial" w:eastAsiaTheme="majorEastAsia" w:hAnsi="Arial" w:cs="Arial"/>
      <w:bCs/>
      <w:color w:val="0194D3"/>
      <w:sz w:val="60"/>
      <w:szCs w:val="60"/>
    </w:rPr>
  </w:style>
  <w:style w:type="character" w:customStyle="1" w:styleId="Heading2Char">
    <w:name w:val="Heading 2 Char"/>
    <w:basedOn w:val="DefaultParagraphFont"/>
    <w:link w:val="Heading2"/>
    <w:uiPriority w:val="9"/>
    <w:rsid w:val="00761AF7"/>
    <w:rPr>
      <w:rFonts w:ascii="Arial" w:eastAsiaTheme="majorEastAsia" w:hAnsi="Arial" w:cs="Arial"/>
      <w:b/>
      <w:bCs/>
      <w:color w:val="0194D3"/>
      <w:sz w:val="30"/>
      <w:szCs w:val="26"/>
    </w:rPr>
  </w:style>
  <w:style w:type="character" w:customStyle="1" w:styleId="Heading3Char">
    <w:name w:val="Heading 3 Char"/>
    <w:basedOn w:val="DefaultParagraphFont"/>
    <w:link w:val="Heading3"/>
    <w:uiPriority w:val="9"/>
    <w:rsid w:val="00761AF7"/>
    <w:rPr>
      <w:rFonts w:ascii="Arial" w:eastAsiaTheme="majorEastAsia" w:hAnsi="Arial" w:cs="Arial"/>
      <w:bCs/>
      <w:color w:val="0194D3"/>
      <w:sz w:val="26"/>
      <w:lang w:val="en-US"/>
    </w:rPr>
  </w:style>
  <w:style w:type="character" w:customStyle="1" w:styleId="Heading4Char">
    <w:name w:val="Heading 4 Char"/>
    <w:basedOn w:val="DefaultParagraphFont"/>
    <w:link w:val="Heading4"/>
    <w:uiPriority w:val="9"/>
    <w:rsid w:val="00936C15"/>
    <w:rPr>
      <w:rFonts w:ascii="Arial" w:eastAsiaTheme="majorEastAsia" w:hAnsi="Arial" w:cs="Arial"/>
      <w:b/>
      <w:bCs/>
      <w:iCs/>
      <w:color w:val="1A1A1A"/>
      <w:sz w:val="24"/>
    </w:rPr>
  </w:style>
  <w:style w:type="character" w:customStyle="1" w:styleId="Heading5Char">
    <w:name w:val="Heading 5 Char"/>
    <w:basedOn w:val="DefaultParagraphFont"/>
    <w:link w:val="Heading5"/>
    <w:uiPriority w:val="9"/>
    <w:rsid w:val="00936C15"/>
    <w:rPr>
      <w:rFonts w:ascii="Arial" w:hAnsi="Arial"/>
      <w:b/>
      <w:color w:val="1A1A1A"/>
    </w:rPr>
  </w:style>
  <w:style w:type="paragraph" w:customStyle="1" w:styleId="IntroParagraph">
    <w:name w:val="Intro Paragraph"/>
    <w:basedOn w:val="Normal"/>
    <w:qFormat/>
    <w:rsid w:val="00936C15"/>
    <w:pPr>
      <w:spacing w:line="300" w:lineRule="atLeast"/>
    </w:pPr>
    <w:rPr>
      <w:b/>
      <w:sz w:val="26"/>
    </w:rPr>
  </w:style>
  <w:style w:type="paragraph" w:customStyle="1" w:styleId="Notes">
    <w:name w:val="Notes"/>
    <w:basedOn w:val="Normal"/>
    <w:next w:val="Normal"/>
    <w:qFormat/>
    <w:rsid w:val="008C5EE7"/>
    <w:pPr>
      <w:spacing w:before="113" w:line="220" w:lineRule="atLeast"/>
    </w:pPr>
    <w:rPr>
      <w:sz w:val="18"/>
    </w:rPr>
  </w:style>
  <w:style w:type="paragraph" w:customStyle="1" w:styleId="Numberedlist">
    <w:name w:val="Numbered list"/>
    <w:basedOn w:val="Normal"/>
    <w:qFormat/>
    <w:rsid w:val="00B97A33"/>
    <w:pPr>
      <w:numPr>
        <w:numId w:val="15"/>
      </w:numPr>
      <w:tabs>
        <w:tab w:val="left" w:pos="284"/>
      </w:tabs>
      <w:spacing w:after="57"/>
      <w:ind w:left="284" w:hanging="284"/>
      <w:contextualSpacing/>
    </w:pPr>
  </w:style>
  <w:style w:type="paragraph" w:customStyle="1" w:styleId="Numberedlistend">
    <w:name w:val="Numbered list end"/>
    <w:basedOn w:val="Numberedlist"/>
    <w:qFormat/>
    <w:rsid w:val="008C5EE7"/>
    <w:pPr>
      <w:spacing w:after="113"/>
    </w:pPr>
  </w:style>
  <w:style w:type="paragraph" w:customStyle="1" w:styleId="PullQuote">
    <w:name w:val="Pull Quote"/>
    <w:basedOn w:val="Normal"/>
    <w:qFormat/>
    <w:rsid w:val="00BA305F"/>
    <w:pPr>
      <w:pBdr>
        <w:top w:val="single" w:sz="6" w:space="8" w:color="0194D3"/>
        <w:bottom w:val="single" w:sz="6" w:space="8" w:color="0194D3"/>
      </w:pBdr>
      <w:spacing w:before="283" w:after="283"/>
    </w:pPr>
    <w:rPr>
      <w:color w:val="0194D3"/>
      <w:sz w:val="26"/>
    </w:rPr>
  </w:style>
  <w:style w:type="character" w:styleId="PageNumber">
    <w:name w:val="page number"/>
    <w:uiPriority w:val="99"/>
    <w:unhideWhenUsed/>
    <w:rsid w:val="004927BD"/>
    <w:rPr>
      <w:sz w:val="16"/>
    </w:rPr>
  </w:style>
  <w:style w:type="table" w:styleId="TableGrid">
    <w:name w:val="Table Grid"/>
    <w:basedOn w:val="TableNormal"/>
    <w:uiPriority w:val="39"/>
    <w:rsid w:val="00B3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box">
    <w:name w:val="Pic box"/>
    <w:basedOn w:val="Normal"/>
    <w:rsid w:val="00B57403"/>
    <w:pPr>
      <w:ind w:left="-851"/>
    </w:pPr>
  </w:style>
  <w:style w:type="paragraph" w:customStyle="1" w:styleId="ContentTitle">
    <w:name w:val="Content Title"/>
    <w:basedOn w:val="Heading1"/>
    <w:next w:val="Normal"/>
    <w:rsid w:val="00837B0C"/>
    <w:pPr>
      <w:pageBreakBefore/>
      <w:framePr w:wrap="around" w:hAnchor="text"/>
      <w:spacing w:before="320"/>
      <w:outlineLvl w:val="9"/>
    </w:pPr>
  </w:style>
  <w:style w:type="character" w:styleId="Hyperlink">
    <w:name w:val="Hyperlink"/>
    <w:basedOn w:val="DefaultParagraphFont"/>
    <w:uiPriority w:val="99"/>
    <w:unhideWhenUsed/>
    <w:rsid w:val="00837B0C"/>
    <w:rPr>
      <w:color w:val="0563C1" w:themeColor="hyperlink"/>
      <w:u w:val="single"/>
    </w:rPr>
  </w:style>
  <w:style w:type="paragraph" w:customStyle="1" w:styleId="VersionControlSubtitle">
    <w:name w:val="Version Control Subtitle"/>
    <w:basedOn w:val="Normal"/>
    <w:qFormat/>
    <w:rsid w:val="00935625"/>
    <w:pPr>
      <w:spacing w:before="960" w:after="360" w:line="259" w:lineRule="auto"/>
    </w:pPr>
    <w:rPr>
      <w:rFonts w:eastAsia="Times New Roman"/>
      <w:b/>
      <w:bCs/>
      <w:color w:val="0194D3"/>
      <w:sz w:val="32"/>
      <w:szCs w:val="64"/>
    </w:rPr>
  </w:style>
  <w:style w:type="paragraph" w:customStyle="1" w:styleId="ReportTitle2">
    <w:name w:val="Report Title 2"/>
    <w:basedOn w:val="Normal"/>
    <w:qFormat/>
    <w:rsid w:val="00935625"/>
    <w:pPr>
      <w:keepNext/>
      <w:keepLines/>
      <w:pageBreakBefore/>
      <w:spacing w:before="1560" w:after="720" w:line="600" w:lineRule="exact"/>
    </w:pPr>
    <w:rPr>
      <w:rFonts w:eastAsiaTheme="majorEastAsia" w:cs="Arial"/>
      <w:bCs/>
      <w:color w:val="0194D3"/>
      <w:sz w:val="60"/>
      <w:szCs w:val="60"/>
    </w:rPr>
  </w:style>
  <w:style w:type="paragraph" w:customStyle="1" w:styleId="TableText">
    <w:name w:val="Table Text"/>
    <w:basedOn w:val="Normal"/>
    <w:qFormat/>
    <w:rsid w:val="00935625"/>
    <w:pPr>
      <w:spacing w:before="60" w:after="60"/>
    </w:pPr>
    <w:rPr>
      <w:sz w:val="20"/>
    </w:rPr>
  </w:style>
  <w:style w:type="paragraph" w:customStyle="1" w:styleId="TableHeading">
    <w:name w:val="Table Heading"/>
    <w:basedOn w:val="TableText"/>
    <w:qFormat/>
    <w:rsid w:val="008E1E81"/>
    <w:rPr>
      <w:b/>
      <w:color w:val="FFFFFF" w:themeColor="background1"/>
      <w:sz w:val="24"/>
    </w:rPr>
  </w:style>
  <w:style w:type="paragraph" w:styleId="BalloonText">
    <w:name w:val="Balloon Text"/>
    <w:basedOn w:val="Normal"/>
    <w:link w:val="BalloonTextChar"/>
    <w:uiPriority w:val="99"/>
    <w:semiHidden/>
    <w:unhideWhenUsed/>
    <w:rsid w:val="00A30A2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A28"/>
    <w:rPr>
      <w:rFonts w:ascii="Lucida Grande" w:hAnsi="Lucida Grande" w:cs="Lucida Grande"/>
      <w:color w:val="1A1A1A"/>
      <w:sz w:val="18"/>
      <w:szCs w:val="18"/>
    </w:rPr>
  </w:style>
  <w:style w:type="paragraph" w:customStyle="1" w:styleId="SubHeading">
    <w:name w:val="Sub Heading"/>
    <w:basedOn w:val="Heading1"/>
    <w:qFormat/>
    <w:rsid w:val="003F00A2"/>
    <w:pPr>
      <w:spacing w:after="0" w:line="240" w:lineRule="auto"/>
    </w:pPr>
    <w:rPr>
      <w:sz w:val="44"/>
    </w:rPr>
  </w:style>
  <w:style w:type="paragraph" w:styleId="ListParagraph">
    <w:name w:val="List Paragraph"/>
    <w:basedOn w:val="Normal"/>
    <w:link w:val="ListParagraphChar"/>
    <w:uiPriority w:val="34"/>
    <w:qFormat/>
    <w:rsid w:val="00DD7E8E"/>
    <w:pPr>
      <w:widowControl w:val="0"/>
      <w:autoSpaceDE w:val="0"/>
      <w:autoSpaceDN w:val="0"/>
      <w:spacing w:line="280" w:lineRule="atLeast"/>
      <w:ind w:left="164"/>
      <w:contextualSpacing/>
    </w:pPr>
    <w:rPr>
      <w:rFonts w:eastAsia="Arial" w:cs="Arial"/>
      <w:color w:val="auto"/>
      <w:sz w:val="22"/>
      <w:lang w:eastAsia="en-AU" w:bidi="en-AU"/>
    </w:rPr>
  </w:style>
  <w:style w:type="paragraph" w:customStyle="1" w:styleId="likeheading2">
    <w:name w:val="like heading 2"/>
    <w:basedOn w:val="Heading2"/>
    <w:link w:val="likeheading2Char"/>
    <w:qFormat/>
    <w:rsid w:val="00DD7E8E"/>
    <w:pPr>
      <w:spacing w:before="360"/>
      <w:outlineLvl w:val="9"/>
    </w:pPr>
    <w:rPr>
      <w:rFonts w:eastAsia="MS Gothic"/>
      <w:color w:val="5B9BD5"/>
    </w:rPr>
  </w:style>
  <w:style w:type="character" w:customStyle="1" w:styleId="likeheading2Char">
    <w:name w:val="like heading 2 Char"/>
    <w:link w:val="likeheading2"/>
    <w:rsid w:val="00DD7E8E"/>
    <w:rPr>
      <w:rFonts w:ascii="Arial" w:eastAsia="MS Gothic" w:hAnsi="Arial" w:cs="Arial"/>
      <w:b/>
      <w:bCs/>
      <w:color w:val="5B9BD5"/>
      <w:sz w:val="30"/>
      <w:szCs w:val="26"/>
    </w:rPr>
  </w:style>
  <w:style w:type="character" w:customStyle="1" w:styleId="ListParagraphChar">
    <w:name w:val="List Paragraph Char"/>
    <w:link w:val="ListParagraph"/>
    <w:uiPriority w:val="1"/>
    <w:rsid w:val="00DD7E8E"/>
    <w:rPr>
      <w:rFonts w:ascii="Arial" w:eastAsia="Arial" w:hAnsi="Arial" w:cs="Arial"/>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506FAAA443975CE0E05400144FFC78FA" version="1.0.0">
  <systemFields>
    <field name="Objective-Id">
      <value order="0">A14452560</value>
    </field>
    <field name="Objective-Title">
      <value order="0">Part 3: Sampling Checklist Supplementary WAV</value>
    </field>
    <field name="Objective-Description">
      <value order="0"/>
    </field>
    <field name="Objective-CreationStamp">
      <value order="0">2020-11-10T05:27:50Z</value>
    </field>
    <field name="Objective-IsApproved">
      <value order="0">false</value>
    </field>
    <field name="Objective-IsPublished">
      <value order="0">true</value>
    </field>
    <field name="Objective-DatePublished">
      <value order="0">2021-01-28T07:13:36Z</value>
    </field>
    <field name="Objective-ModificationStamp">
      <value order="0">2021-01-28T07:13:36Z</value>
    </field>
    <field name="Objective-Owner">
      <value order="0">Lantzke, Allan</value>
    </field>
    <field name="Objective-Path">
      <value order="0">Objective Global Folder:Department of Transport:01 Corporate:02 Core Functions:Passenger Transport:Compliance:Audits and Advisory Visits - Transport (Road Passenger Services ) Act 2018:AUDIT PACKAGE</value>
    </field>
    <field name="Objective-Parent">
      <value order="0">AUDIT PACKAGE</value>
    </field>
    <field name="Objective-State">
      <value order="0">Published</value>
    </field>
    <field name="Objective-VersionId">
      <value order="0">vA20663627</value>
    </field>
    <field name="Objective-Version">
      <value order="0">3.0</value>
    </field>
    <field name="Objective-VersionNumber">
      <value order="0">3</value>
    </field>
    <field name="Objective-VersionComment">
      <value order="0"/>
    </field>
    <field name="Objective-FileNumber">
      <value order="0">DT/19/00354</value>
    </field>
    <field name="Objective-Classification">
      <value order="0"/>
    </field>
    <field name="Objective-Caveats">
      <value order="0"/>
    </field>
  </systemFields>
  <catalogues>
    <catalogue name="Electronic Document Type Catalogue" type="type" ori="id:cA44">
      <field name="Objective-Document Type">
        <value order="0"/>
      </field>
      <field name="Objective-Date Received">
        <value order="0"/>
      </field>
      <field name="Objective-Date Written">
        <value order="0"/>
      </field>
      <field name="Objective-Author">
        <value order="0"/>
      </field>
      <field name="Objective-Notes">
        <value order="0"/>
      </field>
      <field name="Objective-Connect Creator">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C15FB-69D6-4953-8BB9-B2F01005B976}">
  <ds:schemaRef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06FAAA443975CE0E05400144FFC78FA"/>
  </ds:schemaRefs>
</ds:datastoreItem>
</file>

<file path=customXml/itemProps3.xml><?xml version="1.0" encoding="utf-8"?>
<ds:datastoreItem xmlns:ds="http://schemas.openxmlformats.org/officeDocument/2006/customXml" ds:itemID="{31ACBAEC-E260-41D9-8F16-BD16E973A2BC}">
  <ds:schemaRefs>
    <ds:schemaRef ds:uri="http://schemas.microsoft.com/sharepoint/v3/contenttype/forms"/>
  </ds:schemaRefs>
</ds:datastoreItem>
</file>

<file path=customXml/itemProps4.xml><?xml version="1.0" encoding="utf-8"?>
<ds:datastoreItem xmlns:ds="http://schemas.openxmlformats.org/officeDocument/2006/customXml" ds:itemID="{7D6B7482-D329-4164-9B1A-95D41E578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A881584-5089-4894-8451-0623B2CA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Rentschler</dc:creator>
  <cp:lastModifiedBy>Jack, Avalon</cp:lastModifiedBy>
  <cp:revision>2</cp:revision>
  <cp:lastPrinted>2013-11-08T00:06:00Z</cp:lastPrinted>
  <dcterms:created xsi:type="dcterms:W3CDTF">2021-02-17T07:00:00Z</dcterms:created>
  <dcterms:modified xsi:type="dcterms:W3CDTF">2021-02-17T07:00:00Z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A14452560</vt:lpwstr>
  </property>
  <property fmtid="{D5CDD505-2E9C-101B-9397-08002B2CF9AE}" pid="4" name="Objective-Title">
    <vt:lpwstr>Part 3: Sampling Checklist Supplementary WAV</vt:lpwstr>
  </property>
  <property fmtid="{D5CDD505-2E9C-101B-9397-08002B2CF9AE}" pid="5" name="Objective-Comment">
    <vt:lpwstr/>
  </property>
  <property fmtid="{D5CDD505-2E9C-101B-9397-08002B2CF9AE}" pid="6" name="Objective-CreationStamp">
    <vt:filetime>2020-11-13T07:37:02Z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2021-01-28T07:13:36Z</vt:filetime>
  </property>
  <property fmtid="{D5CDD505-2E9C-101B-9397-08002B2CF9AE}" pid="10" name="Objective-ModificationStamp">
    <vt:filetime>2021-01-28T07:13:36Z</vt:filetime>
  </property>
  <property fmtid="{D5CDD505-2E9C-101B-9397-08002B2CF9AE}" pid="11" name="Objective-Owner">
    <vt:lpwstr>Lantzke, Allan</vt:lpwstr>
  </property>
  <property fmtid="{D5CDD505-2E9C-101B-9397-08002B2CF9AE}" pid="12" name="Objective-Path">
    <vt:lpwstr>Objective Global Folder:Department of Transport:01 Corporate:02 Core Functions:Passenger Transport:Compliance:Audits and Advisory Visits - Transport (Road Passenger Services ) Act 2018:AUDIT PACKAGE:</vt:lpwstr>
  </property>
  <property fmtid="{D5CDD505-2E9C-101B-9397-08002B2CF9AE}" pid="13" name="Objective-Parent">
    <vt:lpwstr>AUDIT PACKAGE</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DT/19/00354</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Notes [system]">
    <vt:lpwstr/>
  </property>
  <property fmtid="{D5CDD505-2E9C-101B-9397-08002B2CF9AE}" pid="22" name="Objective-Description">
    <vt:lpwstr/>
  </property>
  <property fmtid="{D5CDD505-2E9C-101B-9397-08002B2CF9AE}" pid="23" name="Objective-VersionId">
    <vt:lpwstr>vA20663627</vt:lpwstr>
  </property>
  <property fmtid="{D5CDD505-2E9C-101B-9397-08002B2CF9AE}" pid="24" name="Objective-Notes">
    <vt:lpwstr/>
  </property>
  <property fmtid="{D5CDD505-2E9C-101B-9397-08002B2CF9AE}" pid="25" name="Objective-Connect Creator">
    <vt:lpwstr/>
  </property>
  <property fmtid="{D5CDD505-2E9C-101B-9397-08002B2CF9AE}" pid="26" name="Objective-Document Type">
    <vt:lpwstr/>
  </property>
  <property fmtid="{D5CDD505-2E9C-101B-9397-08002B2CF9AE}" pid="27" name="Objective-Date Received">
    <vt:lpwstr/>
  </property>
  <property fmtid="{D5CDD505-2E9C-101B-9397-08002B2CF9AE}" pid="28" name="Objective-Date Written">
    <vt:lpwstr/>
  </property>
  <property fmtid="{D5CDD505-2E9C-101B-9397-08002B2CF9AE}" pid="29" name="Objective-Author">
    <vt:lpwstr/>
  </property>
</Properties>
</file>